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D69F" w14:textId="1059A61A" w:rsidR="0039455C" w:rsidRPr="00E1481B" w:rsidRDefault="00105473" w:rsidP="009B45F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cstheme="minorHAnsi"/>
          <w:lang w:val="ro-RO"/>
        </w:rPr>
      </w:pPr>
      <w:bookmarkStart w:id="0" w:name="_GoBack"/>
      <w:r w:rsidRPr="00E1481B">
        <w:rPr>
          <w:rFonts w:cstheme="minorHAnsi"/>
          <w:lang w:val="ro-RO"/>
        </w:rPr>
        <w:t>Anexa 2</w:t>
      </w:r>
    </w:p>
    <w:p w14:paraId="03139DCD" w14:textId="713A21B4" w:rsidR="00A45A75" w:rsidRPr="00E1481B" w:rsidRDefault="00D837A5" w:rsidP="009B45F0">
      <w:pPr>
        <w:spacing w:after="120" w:line="240" w:lineRule="auto"/>
        <w:jc w:val="center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>INSTRUCȚIUNE PENTRU PARTICIPAN</w:t>
      </w:r>
      <w:r w:rsidR="005339E5" w:rsidRPr="00E1481B">
        <w:rPr>
          <w:rFonts w:cstheme="minorHAnsi"/>
          <w:b/>
          <w:bCs/>
          <w:lang w:val="ro-RO"/>
        </w:rPr>
        <w:t>Ț</w:t>
      </w:r>
      <w:r w:rsidRPr="00E1481B">
        <w:rPr>
          <w:rFonts w:cstheme="minorHAnsi"/>
          <w:b/>
          <w:bCs/>
          <w:lang w:val="ro-RO"/>
        </w:rPr>
        <w:t>II LA LICITAȚI</w:t>
      </w:r>
      <w:r w:rsidR="00D92ACA" w:rsidRPr="00E1481B">
        <w:rPr>
          <w:rFonts w:cstheme="minorHAnsi"/>
          <w:b/>
          <w:bCs/>
          <w:lang w:val="ro-RO"/>
        </w:rPr>
        <w:t>A</w:t>
      </w:r>
    </w:p>
    <w:p w14:paraId="5542A0EB" w14:textId="4B8B3DA6" w:rsidR="00D837A5" w:rsidRPr="00E1481B" w:rsidRDefault="00D837A5" w:rsidP="009B45F0">
      <w:pPr>
        <w:spacing w:after="120" w:line="240" w:lineRule="auto"/>
        <w:jc w:val="both"/>
        <w:rPr>
          <w:rFonts w:cstheme="minorHAnsi"/>
          <w:bCs/>
          <w:lang w:val="ro-RO"/>
        </w:rPr>
      </w:pPr>
      <w:r w:rsidRPr="00E1481B">
        <w:rPr>
          <w:rFonts w:cstheme="minorHAnsi"/>
          <w:bCs/>
          <w:lang w:val="ro-RO"/>
        </w:rPr>
        <w:t>pentru selectarea unui</w:t>
      </w:r>
      <w:r w:rsidR="00B638BB" w:rsidRPr="00E1481B">
        <w:rPr>
          <w:rFonts w:cstheme="minorHAnsi"/>
          <w:bCs/>
          <w:lang w:val="ro-RO"/>
        </w:rPr>
        <w:t>/ei</w:t>
      </w:r>
      <w:r w:rsidRPr="00E1481B">
        <w:rPr>
          <w:rFonts w:cstheme="minorHAnsi"/>
          <w:bCs/>
          <w:lang w:val="ro-RO"/>
        </w:rPr>
        <w:t xml:space="preserve"> expert</w:t>
      </w:r>
      <w:r w:rsidR="00B638BB" w:rsidRPr="00E1481B">
        <w:rPr>
          <w:rFonts w:cstheme="minorHAnsi"/>
          <w:bCs/>
          <w:lang w:val="ro-RO"/>
        </w:rPr>
        <w:t>/e</w:t>
      </w:r>
      <w:r w:rsidRPr="00E1481B">
        <w:rPr>
          <w:rFonts w:cstheme="minorHAnsi"/>
          <w:bCs/>
          <w:lang w:val="ro-RO"/>
        </w:rPr>
        <w:t xml:space="preserve"> național</w:t>
      </w:r>
      <w:r w:rsidR="00B638BB" w:rsidRPr="00E1481B">
        <w:rPr>
          <w:rFonts w:cstheme="minorHAnsi"/>
          <w:bCs/>
          <w:lang w:val="ro-RO"/>
        </w:rPr>
        <w:t>/e</w:t>
      </w:r>
      <w:r w:rsidRPr="00E1481B">
        <w:rPr>
          <w:rFonts w:cstheme="minorHAnsi"/>
          <w:bCs/>
          <w:lang w:val="ro-RO"/>
        </w:rPr>
        <w:t xml:space="preserve"> în scopul elaborării </w:t>
      </w:r>
      <w:r w:rsidR="00B638BB" w:rsidRPr="00E1481B">
        <w:rPr>
          <w:rFonts w:cstheme="minorHAnsi"/>
          <w:bCs/>
          <w:lang w:val="ro-RO"/>
        </w:rPr>
        <w:t>P</w:t>
      </w:r>
      <w:r w:rsidRPr="00E1481B">
        <w:rPr>
          <w:rFonts w:cstheme="minorHAnsi"/>
          <w:bCs/>
          <w:lang w:val="ro-RO"/>
        </w:rPr>
        <w:t xml:space="preserve">achetelor de servicii integrate pentru asigurarea incluziunii de calitate a copiilor cu dizabilități de vedere, </w:t>
      </w:r>
      <w:r w:rsidR="00B638BB" w:rsidRPr="00E1481B">
        <w:rPr>
          <w:rFonts w:cstheme="minorHAnsi"/>
          <w:bCs/>
          <w:lang w:val="ro-RO"/>
        </w:rPr>
        <w:t xml:space="preserve">desfășurate </w:t>
      </w:r>
      <w:r w:rsidRPr="00E1481B">
        <w:rPr>
          <w:rFonts w:cstheme="minorHAnsi"/>
          <w:bCs/>
          <w:lang w:val="ro-RO"/>
        </w:rPr>
        <w:t>în cadrul proiectului „Servicii de suport pentru incluziunea educațională a copiilor cu dizabilități – etapa 2”, implementat de Keystone Moldova și finanțat de Fundația Soros Moldova</w:t>
      </w:r>
      <w:r w:rsidR="00B638BB" w:rsidRPr="00E1481B">
        <w:rPr>
          <w:rFonts w:cstheme="minorHAnsi"/>
          <w:bCs/>
          <w:lang w:val="ro-RO"/>
        </w:rPr>
        <w:t>,</w:t>
      </w:r>
      <w:r w:rsidRPr="00E1481B">
        <w:rPr>
          <w:rFonts w:cstheme="minorHAnsi"/>
          <w:bCs/>
          <w:lang w:val="ro-RO"/>
        </w:rPr>
        <w:t xml:space="preserve"> în baza Contractului de Grant nr. G15201 din 15.04.2022</w:t>
      </w:r>
      <w:r w:rsidR="00B638BB" w:rsidRPr="00E1481B">
        <w:rPr>
          <w:rFonts w:cstheme="minorHAnsi"/>
          <w:bCs/>
          <w:lang w:val="ro-RO"/>
        </w:rPr>
        <w:t>.</w:t>
      </w:r>
    </w:p>
    <w:p w14:paraId="78243016" w14:textId="77777777" w:rsidR="00D837A5" w:rsidRPr="00E1481B" w:rsidRDefault="00D837A5" w:rsidP="009B45F0">
      <w:pPr>
        <w:spacing w:after="120" w:line="240" w:lineRule="auto"/>
        <w:jc w:val="center"/>
        <w:rPr>
          <w:rFonts w:cstheme="minorHAnsi"/>
          <w:b/>
          <w:lang w:val="en-US"/>
        </w:rPr>
      </w:pPr>
    </w:p>
    <w:p w14:paraId="102FF97F" w14:textId="55780FCC" w:rsidR="00D837A5" w:rsidRPr="00E1481B" w:rsidRDefault="00D837A5" w:rsidP="009B45F0">
      <w:pPr>
        <w:spacing w:after="120" w:line="240" w:lineRule="auto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Data publicării anunțului:</w:t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</w:r>
      <w:r w:rsidR="00A45A75">
        <w:rPr>
          <w:rFonts w:cstheme="minorHAnsi"/>
          <w:lang w:val="ro-RO"/>
        </w:rPr>
        <w:t>30</w:t>
      </w:r>
      <w:r w:rsidRPr="00E1481B">
        <w:rPr>
          <w:rFonts w:cstheme="minorHAnsi"/>
          <w:lang w:val="ro-RO"/>
        </w:rPr>
        <w:t xml:space="preserve"> Iunie 2022 </w:t>
      </w:r>
    </w:p>
    <w:p w14:paraId="1B832813" w14:textId="1B80666D" w:rsidR="00D837A5" w:rsidRDefault="00D837A5" w:rsidP="009B45F0">
      <w:pPr>
        <w:spacing w:after="120" w:line="240" w:lineRule="auto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Termenul limită de prezentare a dosarului:</w:t>
      </w:r>
      <w:r w:rsidRPr="00E1481B">
        <w:rPr>
          <w:rFonts w:cstheme="minorHAnsi"/>
          <w:lang w:val="ro-RO"/>
        </w:rPr>
        <w:tab/>
      </w:r>
      <w:r w:rsidR="006E4EF4" w:rsidRPr="00E1481B">
        <w:rPr>
          <w:rFonts w:cstheme="minorHAnsi"/>
          <w:lang w:val="ro-RO"/>
        </w:rPr>
        <w:t>10</w:t>
      </w:r>
      <w:r w:rsidRPr="00E1481B">
        <w:rPr>
          <w:rFonts w:cstheme="minorHAnsi"/>
          <w:lang w:val="ro-RO"/>
        </w:rPr>
        <w:t xml:space="preserve"> </w:t>
      </w:r>
      <w:r w:rsidR="00C52674" w:rsidRPr="00E1481B">
        <w:rPr>
          <w:rFonts w:cstheme="minorHAnsi"/>
          <w:lang w:val="ro-RO"/>
        </w:rPr>
        <w:t>Iulie</w:t>
      </w:r>
      <w:r w:rsidRPr="00E1481B">
        <w:rPr>
          <w:rFonts w:cstheme="minorHAnsi"/>
          <w:lang w:val="ro-RO"/>
        </w:rPr>
        <w:t xml:space="preserve"> 2022, orele 18.00</w:t>
      </w:r>
    </w:p>
    <w:p w14:paraId="03D9439D" w14:textId="557FA0A7" w:rsidR="00F67191" w:rsidRDefault="00F67191" w:rsidP="009B45F0">
      <w:pPr>
        <w:spacing w:after="12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Procedura de achiziție                                               Licitație deschisă</w:t>
      </w:r>
    </w:p>
    <w:p w14:paraId="1C42FCC3" w14:textId="65ABC429" w:rsidR="00F67191" w:rsidRPr="00F67191" w:rsidRDefault="00F67191" w:rsidP="009B45F0">
      <w:pPr>
        <w:spacing w:after="120" w:line="240" w:lineRule="auto"/>
        <w:rPr>
          <w:rFonts w:cstheme="minorHAnsi"/>
          <w:b/>
          <w:lang w:val="ro-RO"/>
        </w:rPr>
      </w:pPr>
      <w:r w:rsidRPr="00F67191">
        <w:rPr>
          <w:rFonts w:cstheme="minorHAnsi"/>
          <w:b/>
          <w:lang w:val="ro-RO"/>
        </w:rPr>
        <w:t>Selecție în baza calității și costului</w:t>
      </w:r>
    </w:p>
    <w:p w14:paraId="11A51774" w14:textId="77777777" w:rsidR="00D837A5" w:rsidRDefault="00D837A5" w:rsidP="009B45F0">
      <w:pPr>
        <w:spacing w:after="120" w:line="240" w:lineRule="auto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Contractor:</w:t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</w:r>
      <w:r w:rsidRPr="00E1481B">
        <w:rPr>
          <w:rFonts w:cstheme="minorHAnsi"/>
          <w:lang w:val="ro-RO"/>
        </w:rPr>
        <w:tab/>
        <w:t xml:space="preserve">IP Keystone Moldova </w:t>
      </w:r>
    </w:p>
    <w:p w14:paraId="27FEBF8C" w14:textId="7D24B24E" w:rsidR="00F67191" w:rsidRPr="00E1481B" w:rsidRDefault="00F67191" w:rsidP="009B45F0">
      <w:pPr>
        <w:spacing w:after="12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Tipul contractului                                                       Prestări servicii</w:t>
      </w:r>
    </w:p>
    <w:p w14:paraId="0581799D" w14:textId="77777777" w:rsidR="00D837A5" w:rsidRPr="00E1481B" w:rsidRDefault="00D837A5" w:rsidP="009B45F0">
      <w:pPr>
        <w:pStyle w:val="Default"/>
        <w:spacing w:after="120"/>
        <w:ind w:left="4395" w:hanging="4395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sz w:val="22"/>
          <w:szCs w:val="22"/>
          <w:lang w:val="ro-RO"/>
        </w:rPr>
        <w:t>Grupul țintă al invitației de participare:</w:t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ab/>
        <w:t>Persoane fizice, rezidente în Republica Moldova</w:t>
      </w:r>
    </w:p>
    <w:p w14:paraId="057E41D0" w14:textId="77777777" w:rsidR="00D837A5" w:rsidRPr="00E1481B" w:rsidRDefault="00D837A5" w:rsidP="009B45F0">
      <w:pPr>
        <w:spacing w:after="120" w:line="240" w:lineRule="auto"/>
        <w:rPr>
          <w:rFonts w:cstheme="minorHAnsi"/>
          <w:lang w:val="ro-RO"/>
        </w:rPr>
      </w:pPr>
    </w:p>
    <w:p w14:paraId="57AF7704" w14:textId="554C626A" w:rsidR="00D837A5" w:rsidRPr="00E1481B" w:rsidRDefault="00CA35E5" w:rsidP="00CA35E5">
      <w:pPr>
        <w:shd w:val="clear" w:color="auto" w:fill="DEEAF6" w:themeFill="accent1" w:themeFillTint="33"/>
        <w:spacing w:after="120" w:line="240" w:lineRule="auto"/>
        <w:jc w:val="center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>CONTEXT</w:t>
      </w:r>
    </w:p>
    <w:p w14:paraId="0175C5F9" w14:textId="773E0432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IP Keystone Moldova anunță </w:t>
      </w:r>
      <w:r w:rsidR="004055AB" w:rsidRPr="00E1481B">
        <w:rPr>
          <w:rFonts w:cstheme="minorHAnsi"/>
          <w:lang w:val="ro-RO"/>
        </w:rPr>
        <w:t xml:space="preserve">o </w:t>
      </w:r>
      <w:r w:rsidRPr="00E1481B">
        <w:rPr>
          <w:rFonts w:cstheme="minorHAnsi"/>
          <w:lang w:val="ro-RO"/>
        </w:rPr>
        <w:t>licitație deschisă pentru selectarea unui</w:t>
      </w:r>
      <w:r w:rsidR="004055AB" w:rsidRPr="00E1481B">
        <w:rPr>
          <w:rFonts w:cstheme="minorHAnsi"/>
          <w:lang w:val="ro-RO"/>
        </w:rPr>
        <w:t>/ei</w:t>
      </w:r>
      <w:r w:rsidRPr="00E1481B">
        <w:rPr>
          <w:rFonts w:cstheme="minorHAnsi"/>
          <w:lang w:val="ro-RO"/>
        </w:rPr>
        <w:t xml:space="preserve"> expert</w:t>
      </w:r>
      <w:r w:rsidR="004055AB" w:rsidRPr="00E1481B">
        <w:rPr>
          <w:rFonts w:cstheme="minorHAnsi"/>
          <w:lang w:val="ro-RO"/>
        </w:rPr>
        <w:t>/e</w:t>
      </w:r>
      <w:r w:rsidRPr="00E1481B">
        <w:rPr>
          <w:rFonts w:cstheme="minorHAnsi"/>
          <w:lang w:val="ro-RO"/>
        </w:rPr>
        <w:t xml:space="preserve"> național</w:t>
      </w:r>
      <w:r w:rsidR="004055AB" w:rsidRPr="00E1481B">
        <w:rPr>
          <w:rFonts w:cstheme="minorHAnsi"/>
          <w:lang w:val="ro-RO"/>
        </w:rPr>
        <w:t>/e</w:t>
      </w:r>
      <w:r w:rsidRPr="00E1481B">
        <w:rPr>
          <w:rFonts w:cstheme="minorHAnsi"/>
          <w:lang w:val="ro-RO"/>
        </w:rPr>
        <w:t xml:space="preserve"> în scopul elaborării </w:t>
      </w:r>
      <w:r w:rsidR="004055AB" w:rsidRPr="00E1481B">
        <w:rPr>
          <w:rFonts w:cstheme="minorHAnsi"/>
          <w:lang w:val="ro-RO"/>
        </w:rPr>
        <w:t>P</w:t>
      </w:r>
      <w:r w:rsidRPr="00E1481B">
        <w:rPr>
          <w:rFonts w:cstheme="minorHAnsi"/>
          <w:lang w:val="ro-RO"/>
        </w:rPr>
        <w:t xml:space="preserve">achetelor de servicii integrate pentru asigurarea incluziunii de calitate a copiilor cu dizabilități de </w:t>
      </w:r>
      <w:r w:rsidR="006E4EF4" w:rsidRPr="00E1481B">
        <w:rPr>
          <w:rFonts w:cstheme="minorHAnsi"/>
          <w:lang w:val="ro-RO"/>
        </w:rPr>
        <w:t>vedere</w:t>
      </w:r>
      <w:r w:rsidRPr="00E1481B">
        <w:rPr>
          <w:rFonts w:cstheme="minorHAnsi"/>
          <w:lang w:val="ro-RO"/>
        </w:rPr>
        <w:t xml:space="preserve">, </w:t>
      </w:r>
      <w:r w:rsidR="004055AB" w:rsidRPr="00E1481B">
        <w:rPr>
          <w:rFonts w:cstheme="minorHAnsi"/>
          <w:lang w:val="ro-RO"/>
        </w:rPr>
        <w:t xml:space="preserve">desfășurate </w:t>
      </w:r>
      <w:r w:rsidRPr="00E1481B">
        <w:rPr>
          <w:rFonts w:cstheme="minorHAnsi"/>
          <w:lang w:val="ro-RO"/>
        </w:rPr>
        <w:t>în cadrul proiectului „Servicii de suport pentru incluziunea educațională a copiilor cu dizabilități – etapa 2”, finanțat de Fundația Soros Moldova</w:t>
      </w:r>
      <w:r w:rsidR="004055AB" w:rsidRPr="00E1481B">
        <w:rPr>
          <w:rFonts w:cstheme="minorHAnsi"/>
          <w:lang w:val="ro-RO"/>
        </w:rPr>
        <w:t>,</w:t>
      </w:r>
      <w:r w:rsidRPr="00E1481B">
        <w:rPr>
          <w:rFonts w:cstheme="minorHAnsi"/>
          <w:lang w:val="ro-RO"/>
        </w:rPr>
        <w:t xml:space="preserve"> în baza Contractului de Grant nr. G15201 din 15.04.2022.</w:t>
      </w:r>
    </w:p>
    <w:p w14:paraId="1E389C0E" w14:textId="77777777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i/>
          <w:lang w:val="ro-RO"/>
        </w:rPr>
        <w:t>Scopul proiectului:</w:t>
      </w:r>
      <w:r w:rsidRPr="00E1481B">
        <w:rPr>
          <w:rFonts w:cstheme="minorHAnsi"/>
          <w:lang w:val="ro-RO"/>
        </w:rPr>
        <w:t xml:space="preserve"> reformarea sistemului de servicii de suport educațional pentru copiii și tinerii cu dizabilități din RM.</w:t>
      </w:r>
    </w:p>
    <w:p w14:paraId="7CC77A35" w14:textId="77777777" w:rsidR="00D837A5" w:rsidRPr="00E1481B" w:rsidRDefault="00D837A5" w:rsidP="009B45F0">
      <w:pPr>
        <w:spacing w:after="120" w:line="240" w:lineRule="auto"/>
        <w:ind w:firstLine="426"/>
        <w:jc w:val="both"/>
        <w:rPr>
          <w:rFonts w:cstheme="minorHAnsi"/>
          <w:lang w:val="ro-RO"/>
        </w:rPr>
      </w:pPr>
      <w:r w:rsidRPr="00E1481B" w:rsidDel="00401897">
        <w:rPr>
          <w:rFonts w:cstheme="minorHAnsi"/>
          <w:lang w:val="ro-RO"/>
        </w:rPr>
        <w:t xml:space="preserve"> </w:t>
      </w:r>
      <w:r w:rsidRPr="00E1481B">
        <w:rPr>
          <w:rFonts w:cstheme="minorHAnsi"/>
          <w:lang w:val="ro-RO"/>
        </w:rPr>
        <w:t xml:space="preserve">Detalii privind responsabilitățile expertului sunt indicate în </w:t>
      </w:r>
      <w:r w:rsidRPr="00E1481B">
        <w:rPr>
          <w:rFonts w:cstheme="minorHAnsi"/>
          <w:b/>
          <w:lang w:val="ro-RO"/>
        </w:rPr>
        <w:t>Termenii de Referință (Anexa 1)</w:t>
      </w:r>
    </w:p>
    <w:p w14:paraId="0BA846A5" w14:textId="77777777" w:rsidR="00D837A5" w:rsidRPr="00E1481B" w:rsidRDefault="00D837A5" w:rsidP="009B45F0">
      <w:pPr>
        <w:spacing w:after="120" w:line="240" w:lineRule="auto"/>
        <w:jc w:val="center"/>
        <w:rPr>
          <w:rFonts w:cstheme="minorHAnsi"/>
          <w:b/>
          <w:lang w:val="ro-RO"/>
        </w:rPr>
      </w:pPr>
    </w:p>
    <w:p w14:paraId="51AADBB7" w14:textId="3D56E3AF" w:rsidR="00D837A5" w:rsidRPr="00E1481B" w:rsidRDefault="00F67191" w:rsidP="00CA35E5">
      <w:pPr>
        <w:shd w:val="clear" w:color="auto" w:fill="DEEAF6" w:themeFill="accent1" w:themeFillTint="33"/>
        <w:spacing w:after="120" w:line="240" w:lineRule="auto"/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PREGĂTIREA </w:t>
      </w:r>
      <w:r w:rsidR="00D837A5" w:rsidRPr="00E1481B">
        <w:rPr>
          <w:rFonts w:cstheme="minorHAnsi"/>
          <w:b/>
          <w:lang w:val="ro-RO"/>
        </w:rPr>
        <w:t>DOSARUL</w:t>
      </w:r>
      <w:r>
        <w:rPr>
          <w:rFonts w:cstheme="minorHAnsi"/>
          <w:b/>
          <w:lang w:val="ro-RO"/>
        </w:rPr>
        <w:t>UI de PARTICIPATRE</w:t>
      </w:r>
    </w:p>
    <w:p w14:paraId="70060186" w14:textId="77777777" w:rsidR="00F67191" w:rsidRDefault="00F67191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theme="minorHAnsi"/>
          <w:lang w:val="ro-RO"/>
        </w:rPr>
      </w:pPr>
      <w:r w:rsidRPr="00F67191">
        <w:rPr>
          <w:rFonts w:cstheme="minorHAnsi"/>
          <w:lang w:val="ro-RO"/>
        </w:rPr>
        <w:t xml:space="preserve">Dosarul de participare va cuprinde documentele: </w:t>
      </w:r>
    </w:p>
    <w:p w14:paraId="1B1FB57A" w14:textId="2A708BFF" w:rsidR="00960A65" w:rsidRPr="00E1481B" w:rsidRDefault="00960A65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E1481B">
        <w:rPr>
          <w:rFonts w:eastAsia="Times New Roman" w:cstheme="minorHAnsi"/>
          <w:lang w:val="ro-RO"/>
        </w:rPr>
        <w:t>1)</w:t>
      </w:r>
      <w:r w:rsidRPr="00E1481B">
        <w:rPr>
          <w:rFonts w:eastAsia="Times New Roman" w:cstheme="minorHAnsi"/>
          <w:lang w:val="ro-RO"/>
        </w:rPr>
        <w:tab/>
      </w:r>
      <w:r w:rsidR="0058741C" w:rsidRPr="00E1481B">
        <w:rPr>
          <w:rFonts w:cstheme="minorHAnsi"/>
          <w:b/>
          <w:lang w:val="ro-RO"/>
        </w:rPr>
        <w:t xml:space="preserve">Oferta tehnică </w:t>
      </w:r>
      <w:r w:rsidR="00F67191">
        <w:rPr>
          <w:rFonts w:cstheme="minorHAnsi"/>
          <w:lang w:val="ro-RO"/>
        </w:rPr>
        <w:t>/</w:t>
      </w:r>
      <w:r w:rsidR="004055AB" w:rsidRPr="00E1481B">
        <w:rPr>
          <w:rFonts w:cstheme="minorHAnsi"/>
          <w:lang w:val="ro-RO"/>
        </w:rPr>
        <w:t xml:space="preserve"> </w:t>
      </w:r>
      <w:r w:rsidR="0058741C" w:rsidRPr="00E1481B">
        <w:rPr>
          <w:rFonts w:cstheme="minorHAnsi"/>
          <w:lang w:val="ro-RO"/>
        </w:rPr>
        <w:t xml:space="preserve">CV-ul </w:t>
      </w:r>
      <w:r w:rsidR="00D024CC" w:rsidRPr="00E1481B">
        <w:rPr>
          <w:rFonts w:cstheme="minorHAnsi"/>
          <w:lang w:val="ro-RO"/>
        </w:rPr>
        <w:t>solicitan</w:t>
      </w:r>
      <w:r w:rsidR="004055AB" w:rsidRPr="00E1481B">
        <w:rPr>
          <w:rFonts w:cstheme="minorHAnsi"/>
          <w:lang w:val="ro-RO"/>
        </w:rPr>
        <w:t>tului/ei</w:t>
      </w:r>
      <w:r w:rsidR="00D024CC" w:rsidRPr="00E1481B">
        <w:rPr>
          <w:rFonts w:cstheme="minorHAnsi"/>
          <w:lang w:val="ro-RO"/>
        </w:rPr>
        <w:t xml:space="preserve">, </w:t>
      </w:r>
      <w:r w:rsidR="0058741C" w:rsidRPr="00E1481B">
        <w:rPr>
          <w:rFonts w:cstheme="minorHAnsi"/>
          <w:lang w:val="ro-RO"/>
        </w:rPr>
        <w:t>c</w:t>
      </w:r>
      <w:r w:rsidR="00D024CC" w:rsidRPr="00E1481B">
        <w:rPr>
          <w:rFonts w:cstheme="minorHAnsi"/>
          <w:lang w:val="ro-RO"/>
        </w:rPr>
        <w:t>ar</w:t>
      </w:r>
      <w:r w:rsidR="0058741C" w:rsidRPr="00E1481B">
        <w:rPr>
          <w:rFonts w:cstheme="minorHAnsi"/>
          <w:lang w:val="ro-RO"/>
        </w:rPr>
        <w:t>e pune în evidență competențele solicitate conform ToR</w:t>
      </w:r>
      <w:r w:rsidR="00D024CC" w:rsidRPr="00E1481B">
        <w:rPr>
          <w:rFonts w:cstheme="minorHAnsi"/>
          <w:lang w:val="ro-RO"/>
        </w:rPr>
        <w:t>-ului,</w:t>
      </w:r>
      <w:r w:rsidR="0058741C" w:rsidRPr="00E1481B">
        <w:rPr>
          <w:rFonts w:cstheme="minorHAnsi"/>
          <w:lang w:val="ro-RO"/>
        </w:rPr>
        <w:t xml:space="preserve"> semnat de către ofertant</w:t>
      </w:r>
      <w:r w:rsidR="00D024CC" w:rsidRPr="00E1481B">
        <w:rPr>
          <w:rFonts w:cstheme="minorHAnsi"/>
          <w:lang w:val="ro-RO"/>
        </w:rPr>
        <w:t>, în care vor fi incluse</w:t>
      </w:r>
      <w:r w:rsidRPr="00E1481B">
        <w:rPr>
          <w:rFonts w:eastAsia="Times New Roman" w:cstheme="minorHAnsi"/>
          <w:lang w:val="ro-RO"/>
        </w:rPr>
        <w:t xml:space="preserve"> datele de contact a 3 persoane de referință.</w:t>
      </w:r>
    </w:p>
    <w:p w14:paraId="2A81D141" w14:textId="25F2A0BD" w:rsidR="00960A65" w:rsidRPr="00E1481B" w:rsidRDefault="00960A65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E1481B">
        <w:rPr>
          <w:rFonts w:eastAsia="Times New Roman" w:cstheme="minorHAnsi"/>
          <w:lang w:val="ro-RO"/>
        </w:rPr>
        <w:t>2)</w:t>
      </w:r>
      <w:r w:rsidRPr="00E1481B">
        <w:rPr>
          <w:rFonts w:eastAsia="Times New Roman" w:cstheme="minorHAnsi"/>
          <w:lang w:val="ro-RO"/>
        </w:rPr>
        <w:tab/>
      </w:r>
      <w:r w:rsidRPr="00E1481B">
        <w:rPr>
          <w:rFonts w:eastAsia="Times New Roman" w:cstheme="minorHAnsi"/>
          <w:b/>
          <w:bCs/>
          <w:lang w:val="ro-RO"/>
        </w:rPr>
        <w:t>Oferta financiară</w:t>
      </w:r>
      <w:r w:rsidRPr="00E1481B">
        <w:rPr>
          <w:rFonts w:eastAsia="Times New Roman" w:cstheme="minorHAnsi"/>
          <w:lang w:val="ro-RO"/>
        </w:rPr>
        <w:t xml:space="preserve"> </w:t>
      </w:r>
      <w:r w:rsidR="007C11C1" w:rsidRPr="00E1481B">
        <w:rPr>
          <w:rFonts w:cstheme="minorHAnsi"/>
          <w:lang w:val="ro-RO"/>
        </w:rPr>
        <w:t>va include formularul ofertei financiare completat și semnat de către ofertant în MDL conform Formularului de ofertă financiară (</w:t>
      </w:r>
      <w:r w:rsidRPr="00E1481B">
        <w:rPr>
          <w:rFonts w:eastAsia="Times New Roman" w:cstheme="minorHAnsi"/>
          <w:lang w:val="ro-RO"/>
        </w:rPr>
        <w:t>Anex</w:t>
      </w:r>
      <w:r w:rsidR="00D024CC" w:rsidRPr="00E1481B">
        <w:rPr>
          <w:rFonts w:eastAsia="Times New Roman" w:cstheme="minorHAnsi"/>
          <w:lang w:val="ro-RO"/>
        </w:rPr>
        <w:t>a</w:t>
      </w:r>
      <w:r w:rsidRPr="00E1481B">
        <w:rPr>
          <w:rFonts w:eastAsia="Times New Roman" w:cstheme="minorHAnsi"/>
          <w:lang w:val="ro-RO"/>
        </w:rPr>
        <w:t xml:space="preserve"> 3</w:t>
      </w:r>
      <w:r w:rsidR="007C11C1" w:rsidRPr="00E1481B">
        <w:rPr>
          <w:rFonts w:eastAsia="Times New Roman" w:cstheme="minorHAnsi"/>
          <w:lang w:val="ro-RO"/>
        </w:rPr>
        <w:t>)</w:t>
      </w:r>
      <w:r w:rsidRPr="00E1481B">
        <w:rPr>
          <w:rFonts w:eastAsia="Times New Roman" w:cstheme="minorHAnsi"/>
          <w:lang w:val="ro-RO"/>
        </w:rPr>
        <w:t>.</w:t>
      </w:r>
      <w:r w:rsidR="0058741C" w:rsidRPr="00E1481B">
        <w:rPr>
          <w:rFonts w:eastAsia="Times New Roman" w:cstheme="minorHAnsi"/>
          <w:lang w:val="ro-RO"/>
        </w:rPr>
        <w:t xml:space="preserve"> </w:t>
      </w:r>
    </w:p>
    <w:p w14:paraId="51456C79" w14:textId="18A0D3A5" w:rsidR="00960A65" w:rsidRPr="00E1481B" w:rsidRDefault="00960A65" w:rsidP="009B45F0">
      <w:pPr>
        <w:shd w:val="clear" w:color="auto" w:fill="FFFFFF"/>
        <w:spacing w:after="0" w:line="240" w:lineRule="auto"/>
        <w:ind w:firstLine="567"/>
        <w:textAlignment w:val="baseline"/>
        <w:rPr>
          <w:rFonts w:eastAsia="Times New Roman" w:cstheme="minorHAnsi"/>
          <w:lang w:val="ro-RO"/>
        </w:rPr>
      </w:pPr>
      <w:r w:rsidRPr="00E1481B">
        <w:rPr>
          <w:rFonts w:eastAsia="Times New Roman" w:cstheme="minorHAnsi"/>
          <w:lang w:val="ro-RO"/>
        </w:rPr>
        <w:t>Pe documente se va indica data transmiterii</w:t>
      </w:r>
      <w:r w:rsidR="00D024CC" w:rsidRPr="00E1481B">
        <w:rPr>
          <w:rFonts w:eastAsia="Times New Roman" w:cstheme="minorHAnsi"/>
          <w:lang w:val="ro-RO"/>
        </w:rPr>
        <w:t xml:space="preserve"> dosarului</w:t>
      </w:r>
      <w:r w:rsidRPr="00E1481B">
        <w:rPr>
          <w:rFonts w:eastAsia="Times New Roman" w:cstheme="minorHAnsi"/>
          <w:lang w:val="ro-RO"/>
        </w:rPr>
        <w:t>, acestea vor fi semnate și scanate.</w:t>
      </w:r>
    </w:p>
    <w:p w14:paraId="3AB78C2E" w14:textId="77777777" w:rsidR="00F67191" w:rsidRDefault="00F67191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</w:p>
    <w:p w14:paraId="6ECD1279" w14:textId="4F49ADA7" w:rsidR="00F67191" w:rsidRDefault="00F67191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F67191">
        <w:rPr>
          <w:rFonts w:eastAsia="Times New Roman" w:cstheme="minorHAnsi"/>
          <w:lang w:val="ro-RO"/>
        </w:rPr>
        <w:t>Ofertele se depun în conformitate cu cerințele și procedura prevăzută în prezenta Instrucțiune pentru</w:t>
      </w:r>
      <w:r>
        <w:rPr>
          <w:rFonts w:eastAsia="Times New Roman" w:cstheme="minorHAnsi"/>
          <w:lang w:val="ro-RO"/>
        </w:rPr>
        <w:t xml:space="preserve"> </w:t>
      </w:r>
      <w:r w:rsidRPr="00F67191">
        <w:rPr>
          <w:rFonts w:eastAsia="Times New Roman" w:cstheme="minorHAnsi"/>
          <w:lang w:val="ro-RO"/>
        </w:rPr>
        <w:t>ofertanți, secțiunea: Cum și unde se depune dosarul. La pregătirea dosarului, solicitanții vor examina în</w:t>
      </w:r>
      <w:r>
        <w:rPr>
          <w:rFonts w:eastAsia="Times New Roman" w:cstheme="minorHAnsi"/>
          <w:lang w:val="ro-RO"/>
        </w:rPr>
        <w:t xml:space="preserve"> </w:t>
      </w:r>
      <w:r w:rsidRPr="00F67191">
        <w:rPr>
          <w:rFonts w:eastAsia="Times New Roman" w:cstheme="minorHAnsi"/>
          <w:lang w:val="ro-RO"/>
        </w:rPr>
        <w:t>detalii termenii de referință. Lipsa anumitor informații esențiale pentru executarea contractului, solicitate</w:t>
      </w:r>
      <w:r>
        <w:rPr>
          <w:rFonts w:eastAsia="Times New Roman" w:cstheme="minorHAnsi"/>
          <w:lang w:val="ro-RO"/>
        </w:rPr>
        <w:t xml:space="preserve"> </w:t>
      </w:r>
      <w:r w:rsidRPr="00F67191">
        <w:rPr>
          <w:rFonts w:eastAsia="Times New Roman" w:cstheme="minorHAnsi"/>
          <w:lang w:val="ro-RO"/>
        </w:rPr>
        <w:t>în cererea de ofertă, pot duce la respingerea propunerii. Toate costurile legate de pregătirea și/sau</w:t>
      </w:r>
      <w:r>
        <w:rPr>
          <w:rFonts w:eastAsia="Times New Roman" w:cstheme="minorHAnsi"/>
          <w:lang w:val="ro-RO"/>
        </w:rPr>
        <w:t xml:space="preserve"> </w:t>
      </w:r>
      <w:r w:rsidRPr="00F67191">
        <w:rPr>
          <w:rFonts w:eastAsia="Times New Roman" w:cstheme="minorHAnsi"/>
          <w:lang w:val="ro-RO"/>
        </w:rPr>
        <w:t>depunerea dosarului de aplicare vor fi suportate de către ofertanți, indiferent dacă propunerea lor a fost</w:t>
      </w:r>
      <w:r>
        <w:rPr>
          <w:rFonts w:eastAsia="Times New Roman" w:cstheme="minorHAnsi"/>
          <w:lang w:val="ro-RO"/>
        </w:rPr>
        <w:t xml:space="preserve"> </w:t>
      </w:r>
      <w:r w:rsidRPr="00F67191">
        <w:rPr>
          <w:rFonts w:eastAsia="Times New Roman" w:cstheme="minorHAnsi"/>
          <w:lang w:val="ro-RO"/>
        </w:rPr>
        <w:t>selectată sau nu. Ofertele, precum și toată corespondența cu ofertantul va fi în limba română.</w:t>
      </w:r>
    </w:p>
    <w:p w14:paraId="4C4A9010" w14:textId="77777777" w:rsidR="00F67191" w:rsidRDefault="00F67191" w:rsidP="009B4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</w:p>
    <w:p w14:paraId="1AD1E9BE" w14:textId="04B39018" w:rsidR="00AE6157" w:rsidRPr="00AE6157" w:rsidRDefault="00AE6157" w:rsidP="00F53A30">
      <w:pPr>
        <w:shd w:val="clear" w:color="auto" w:fill="DEEAF6" w:themeFill="accent1" w:themeFillTint="33"/>
        <w:spacing w:after="0" w:line="240" w:lineRule="auto"/>
        <w:ind w:firstLine="567"/>
        <w:jc w:val="center"/>
        <w:textAlignment w:val="baseline"/>
        <w:rPr>
          <w:rFonts w:eastAsia="Times New Roman" w:cstheme="minorHAnsi"/>
          <w:b/>
          <w:lang w:val="ro-RO"/>
        </w:rPr>
      </w:pPr>
      <w:r w:rsidRPr="00AE6157">
        <w:rPr>
          <w:rFonts w:eastAsia="Times New Roman" w:cstheme="minorHAnsi"/>
          <w:b/>
          <w:lang w:val="ro-RO"/>
        </w:rPr>
        <w:t>ORAR</w:t>
      </w:r>
    </w:p>
    <w:p w14:paraId="0200F026" w14:textId="77777777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>Următoarele termene limită se aplică acestei cereri de oferte:</w:t>
      </w:r>
    </w:p>
    <w:p w14:paraId="79099846" w14:textId="77777777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>Acțiune:</w:t>
      </w:r>
    </w:p>
    <w:p w14:paraId="0023B7A9" w14:textId="3FE5EB42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Lansare concurs de oferte: 30 iunie 2022</w:t>
      </w:r>
    </w:p>
    <w:p w14:paraId="75498D1B" w14:textId="6B29140D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>Termen limită pentru întrebările ofertanților</w:t>
      </w:r>
      <w:r>
        <w:rPr>
          <w:rFonts w:eastAsia="Times New Roman" w:cstheme="minorHAnsi"/>
          <w:lang w:val="ro-RO"/>
        </w:rPr>
        <w:t>: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08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</w:t>
      </w:r>
      <w:r>
        <w:rPr>
          <w:rFonts w:eastAsia="Times New Roman" w:cstheme="minorHAnsi"/>
          <w:lang w:val="ro-RO"/>
        </w:rPr>
        <w:t>2, ora 12:00</w:t>
      </w:r>
    </w:p>
    <w:p w14:paraId="21B7464A" w14:textId="4875E856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>Termen limită pentru răspunsurile noastre</w:t>
      </w:r>
      <w:r>
        <w:rPr>
          <w:rFonts w:eastAsia="Times New Roman" w:cstheme="minorHAnsi"/>
          <w:lang w:val="ro-RO"/>
        </w:rPr>
        <w:t>: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08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</w:t>
      </w:r>
      <w:r>
        <w:rPr>
          <w:rFonts w:eastAsia="Times New Roman" w:cstheme="minorHAnsi"/>
          <w:lang w:val="ro-RO"/>
        </w:rPr>
        <w:t>2, ora 18:00</w:t>
      </w:r>
    </w:p>
    <w:p w14:paraId="0F1041F4" w14:textId="33A27AA7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lastRenderedPageBreak/>
        <w:t>Termen limită pentru depunerea dosarului</w:t>
      </w:r>
      <w:r>
        <w:rPr>
          <w:rFonts w:eastAsia="Times New Roman" w:cstheme="minorHAnsi"/>
          <w:lang w:val="ro-RO"/>
        </w:rPr>
        <w:t>: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10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</w:t>
      </w:r>
      <w:r>
        <w:rPr>
          <w:rFonts w:eastAsia="Times New Roman" w:cstheme="minorHAnsi"/>
          <w:lang w:val="ro-RO"/>
        </w:rPr>
        <w:t>2, ora 18:00</w:t>
      </w:r>
      <w:r w:rsidRPr="00AE6157">
        <w:rPr>
          <w:rFonts w:eastAsia="Times New Roman" w:cstheme="minorHAnsi"/>
          <w:lang w:val="ro-RO"/>
        </w:rPr>
        <w:t>.</w:t>
      </w:r>
    </w:p>
    <w:p w14:paraId="7DBEE289" w14:textId="495EE668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 xml:space="preserve">Verificarea conformității ofertelor cu Termenii de Referință </w:t>
      </w:r>
      <w:r>
        <w:rPr>
          <w:rFonts w:eastAsia="Times New Roman" w:cstheme="minorHAnsi"/>
          <w:lang w:val="ro-RO"/>
        </w:rPr>
        <w:t>11</w:t>
      </w:r>
      <w:r w:rsidRPr="00AE6157">
        <w:rPr>
          <w:rFonts w:eastAsia="Times New Roman" w:cstheme="minorHAnsi"/>
          <w:lang w:val="ro-RO"/>
        </w:rPr>
        <w:t xml:space="preserve"> </w:t>
      </w:r>
      <w:r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2022</w:t>
      </w:r>
    </w:p>
    <w:p w14:paraId="77ABAD33" w14:textId="77777777" w:rsid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</w:p>
    <w:p w14:paraId="1F05AB1E" w14:textId="55AC0F51" w:rsidR="00AE6157" w:rsidRPr="00AE6157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 xml:space="preserve">Selecția finală a contractorului </w:t>
      </w:r>
      <w:r w:rsidR="00525CD2">
        <w:rPr>
          <w:rFonts w:eastAsia="Times New Roman" w:cstheme="minorHAnsi"/>
          <w:lang w:val="ro-RO"/>
        </w:rPr>
        <w:t>13</w:t>
      </w:r>
      <w:r w:rsidRPr="00AE6157">
        <w:rPr>
          <w:rFonts w:eastAsia="Times New Roman" w:cstheme="minorHAnsi"/>
          <w:lang w:val="ro-RO"/>
        </w:rPr>
        <w:t xml:space="preserve"> </w:t>
      </w:r>
      <w:r w:rsidR="00525CD2"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2022</w:t>
      </w:r>
    </w:p>
    <w:p w14:paraId="63858310" w14:textId="011B8F59" w:rsidR="00F67191" w:rsidRDefault="00AE6157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  <w:r w:rsidRPr="00AE6157">
        <w:rPr>
          <w:rFonts w:eastAsia="Times New Roman" w:cstheme="minorHAnsi"/>
          <w:lang w:val="ro-RO"/>
        </w:rPr>
        <w:t xml:space="preserve">Data de începere a contractului </w:t>
      </w:r>
      <w:r w:rsidR="00525CD2">
        <w:rPr>
          <w:rFonts w:eastAsia="Times New Roman" w:cstheme="minorHAnsi"/>
          <w:lang w:val="ro-RO"/>
        </w:rPr>
        <w:t>15</w:t>
      </w:r>
      <w:r w:rsidRPr="00AE6157">
        <w:rPr>
          <w:rFonts w:eastAsia="Times New Roman" w:cstheme="minorHAnsi"/>
          <w:lang w:val="ro-RO"/>
        </w:rPr>
        <w:t xml:space="preserve"> </w:t>
      </w:r>
      <w:r w:rsidR="00525CD2">
        <w:rPr>
          <w:rFonts w:eastAsia="Times New Roman" w:cstheme="minorHAnsi"/>
          <w:lang w:val="ro-RO"/>
        </w:rPr>
        <w:t>iunie</w:t>
      </w:r>
      <w:r w:rsidRPr="00AE6157">
        <w:rPr>
          <w:rFonts w:eastAsia="Times New Roman" w:cstheme="minorHAnsi"/>
          <w:lang w:val="ro-RO"/>
        </w:rPr>
        <w:t xml:space="preserve"> 2022</w:t>
      </w:r>
    </w:p>
    <w:p w14:paraId="7C0F6CDD" w14:textId="77777777" w:rsidR="00AB50B5" w:rsidRDefault="00AB50B5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lang w:val="ro-RO"/>
        </w:rPr>
      </w:pPr>
    </w:p>
    <w:p w14:paraId="462ED179" w14:textId="73A822DF" w:rsidR="006E72EC" w:rsidRPr="006E72EC" w:rsidRDefault="006E72EC" w:rsidP="00F53A30">
      <w:pPr>
        <w:shd w:val="clear" w:color="auto" w:fill="DEEAF6" w:themeFill="accent1" w:themeFillTint="33"/>
        <w:spacing w:after="0" w:line="240" w:lineRule="auto"/>
        <w:ind w:firstLine="567"/>
        <w:jc w:val="center"/>
        <w:textAlignment w:val="baseline"/>
        <w:rPr>
          <w:b/>
          <w:lang w:val="ro-RO"/>
        </w:rPr>
      </w:pPr>
      <w:r w:rsidRPr="006E72EC">
        <w:rPr>
          <w:b/>
          <w:lang w:val="ro-RO"/>
        </w:rPr>
        <w:t>CUM ȘI UNDE SE DEPUNE DOSARUL</w:t>
      </w:r>
    </w:p>
    <w:p w14:paraId="2B3BCF13" w14:textId="00524442" w:rsidR="006E72EC" w:rsidRPr="006E72EC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 w:rsidRPr="006E72EC">
        <w:rPr>
          <w:lang w:val="ro-RO"/>
        </w:rPr>
        <w:t xml:space="preserve">Dosarul de aplicare va fi transmis electronic, prin e-mail, la următoarea adresă: </w:t>
      </w:r>
      <w:hyperlink r:id="rId8" w:history="1">
        <w:r w:rsidRPr="008B1FEB">
          <w:rPr>
            <w:rStyle w:val="Hyperlink"/>
            <w:lang w:val="ro-RO"/>
          </w:rPr>
          <w:t>dcutulab@khs.org</w:t>
        </w:r>
      </w:hyperlink>
      <w:r>
        <w:rPr>
          <w:lang w:val="ro-RO"/>
        </w:rPr>
        <w:t xml:space="preserve">. </w:t>
      </w:r>
      <w:r w:rsidRPr="006E72EC">
        <w:rPr>
          <w:lang w:val="ro-RO"/>
        </w:rPr>
        <w:t xml:space="preserve"> Termen limită de depunere: </w:t>
      </w:r>
      <w:r>
        <w:rPr>
          <w:lang w:val="ro-RO"/>
        </w:rPr>
        <w:t>10 iunie 2022</w:t>
      </w:r>
      <w:r w:rsidRPr="006E72EC">
        <w:rPr>
          <w:lang w:val="ro-RO"/>
        </w:rPr>
        <w:t>; ora 1</w:t>
      </w:r>
      <w:r>
        <w:rPr>
          <w:lang w:val="ro-RO"/>
        </w:rPr>
        <w:t>8</w:t>
      </w:r>
      <w:r w:rsidRPr="006E72EC">
        <w:rPr>
          <w:lang w:val="ro-RO"/>
        </w:rPr>
        <w:t xml:space="preserve">:00. </w:t>
      </w:r>
    </w:p>
    <w:p w14:paraId="4A20B499" w14:textId="06376FCE" w:rsidR="006E72EC" w:rsidRPr="006E72EC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>
        <w:rPr>
          <w:lang w:val="ro-RO"/>
        </w:rPr>
        <w:t>Keystone Moldova</w:t>
      </w:r>
      <w:r w:rsidRPr="006E72EC">
        <w:rPr>
          <w:lang w:val="ro-RO"/>
        </w:rPr>
        <w:t xml:space="preserve"> nu va lua în considerare dosarele depuse după termenul limită. </w:t>
      </w:r>
    </w:p>
    <w:p w14:paraId="6CAD4F17" w14:textId="220BD740" w:rsidR="006E72EC" w:rsidRPr="006E72EC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 w:rsidRPr="006E72EC">
        <w:rPr>
          <w:lang w:val="ro-RO"/>
        </w:rPr>
        <w:t>Vă rugăm să vă asigurați că ofertele tehnice și financiare sunt trimise în e-mailuri separate, în același timp oferta financiară urmează a fi protejată prin parolă</w:t>
      </w:r>
      <w:r>
        <w:rPr>
          <w:lang w:val="ro-RO"/>
        </w:rPr>
        <w:t>.</w:t>
      </w:r>
      <w:r w:rsidRPr="006E72EC">
        <w:rPr>
          <w:lang w:val="ro-RO"/>
        </w:rPr>
        <w:t xml:space="preserve"> </w:t>
      </w:r>
    </w:p>
    <w:p w14:paraId="19902F26" w14:textId="132BDD2C" w:rsidR="006E72EC" w:rsidRPr="006E72EC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 w:rsidRPr="006E72EC">
        <w:rPr>
          <w:lang w:val="ro-RO"/>
        </w:rPr>
        <w:t xml:space="preserve">Parola va fi dezvăluită doar la solicitarea în scris </w:t>
      </w:r>
      <w:r w:rsidR="000A6E0B">
        <w:rPr>
          <w:lang w:val="ro-RO"/>
        </w:rPr>
        <w:t>a Keystone Moldova</w:t>
      </w:r>
      <w:r w:rsidRPr="006E72EC">
        <w:rPr>
          <w:lang w:val="ro-RO"/>
        </w:rPr>
        <w:t xml:space="preserve">, la etapa de deschidere a ofertelor financiare. La expedierea ofertelor, vă rugăm să vă asigurați că următoarele informații sunt incluse în subiectul emailului: </w:t>
      </w:r>
    </w:p>
    <w:p w14:paraId="40FCDBB8" w14:textId="7906ACC5" w:rsidR="006E72EC" w:rsidRPr="006E72EC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 w:rsidRPr="006E72EC">
        <w:rPr>
          <w:lang w:val="ro-RO"/>
        </w:rPr>
        <w:t xml:space="preserve">• pentru ofertă tehnică – Subiect: </w:t>
      </w:r>
      <w:proofErr w:type="spellStart"/>
      <w:r w:rsidRPr="006E72EC">
        <w:rPr>
          <w:lang w:val="ro-RO"/>
        </w:rPr>
        <w:t>OT_</w:t>
      </w:r>
      <w:r w:rsidR="000A6E0B">
        <w:rPr>
          <w:lang w:val="ro-RO"/>
        </w:rPr>
        <w:t>Consultant</w:t>
      </w:r>
      <w:proofErr w:type="spellEnd"/>
      <w:r w:rsidR="000A6E0B">
        <w:rPr>
          <w:lang w:val="ro-RO"/>
        </w:rPr>
        <w:t xml:space="preserve"> Național</w:t>
      </w:r>
      <w:r w:rsidRPr="006E72EC">
        <w:rPr>
          <w:lang w:val="ro-RO"/>
        </w:rPr>
        <w:t xml:space="preserve"> Nume ofertant </w:t>
      </w:r>
    </w:p>
    <w:p w14:paraId="76D04DD2" w14:textId="284B4B0B" w:rsidR="00AB50B5" w:rsidRDefault="006E72EC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  <w:r w:rsidRPr="006E72EC">
        <w:rPr>
          <w:lang w:val="ro-RO"/>
        </w:rPr>
        <w:t xml:space="preserve">• pentru ofertă financiară – Subiect: </w:t>
      </w:r>
      <w:proofErr w:type="spellStart"/>
      <w:r w:rsidRPr="006E72EC">
        <w:rPr>
          <w:lang w:val="ro-RO"/>
        </w:rPr>
        <w:t>OF_</w:t>
      </w:r>
      <w:r w:rsidR="000A6E0B">
        <w:rPr>
          <w:lang w:val="ro-RO"/>
        </w:rPr>
        <w:t>Consultant</w:t>
      </w:r>
      <w:proofErr w:type="spellEnd"/>
      <w:r w:rsidR="000A6E0B">
        <w:rPr>
          <w:lang w:val="ro-RO"/>
        </w:rPr>
        <w:t xml:space="preserve"> Național</w:t>
      </w:r>
      <w:r w:rsidR="000A6E0B" w:rsidRPr="006E72EC">
        <w:rPr>
          <w:lang w:val="ro-RO"/>
        </w:rPr>
        <w:t xml:space="preserve"> </w:t>
      </w:r>
      <w:r w:rsidRPr="006E72EC">
        <w:rPr>
          <w:lang w:val="ro-RO"/>
        </w:rPr>
        <w:t>Nume ofertant</w:t>
      </w:r>
    </w:p>
    <w:p w14:paraId="3285785F" w14:textId="77777777" w:rsidR="006500AA" w:rsidRDefault="006500AA" w:rsidP="00AE6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ro-RO"/>
        </w:rPr>
      </w:pPr>
    </w:p>
    <w:p w14:paraId="4BE1B5FE" w14:textId="77777777" w:rsidR="006500AA" w:rsidRPr="00E1481B" w:rsidRDefault="006500AA" w:rsidP="006500AA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După depunerea dosarului de aplicare, vă rugăm să vă asigurați că acesta a fost recepționat de către Keystone Moldova prin recepționarea unui e-mail de confirmare. În lipsa confirmării, Keystone Moldova nu poartă răspundere pentru dosarele care nu au fost recepționate. </w:t>
      </w:r>
    </w:p>
    <w:p w14:paraId="3157E832" w14:textId="77777777" w:rsidR="006500AA" w:rsidRPr="00E1481B" w:rsidRDefault="006500AA" w:rsidP="006500AA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Un ofertant poate retrage, înlocui sau modifica oferta depusă în orice moment, înainte de termenul limită pentru depunere, prin trimiterea unei notificări scrise către Keystone Moldova. Înlocuirea sau modificarea corespunzătoare a ofertei, dacă există, va fi însoțită de notificarea scrisă corespunzătoare. Toate notificările trebuie trimise în același mod specificat pentru depunerea ofertelor, marcându-le clar prin adăugarea cuvintelor „Retragere”, „Substituire” sau „Modificare” la subiectul e-mailului.</w:t>
      </w:r>
    </w:p>
    <w:p w14:paraId="4567A18A" w14:textId="6CA21734" w:rsidR="006500AA" w:rsidRPr="006C76FC" w:rsidRDefault="00A36397" w:rsidP="006C76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b/>
          <w:lang w:val="ro-RO"/>
        </w:rPr>
      </w:pPr>
      <w:r w:rsidRPr="006C76FC">
        <w:rPr>
          <w:rFonts w:eastAsia="Times New Roman" w:cstheme="minorHAnsi"/>
          <w:b/>
          <w:lang w:val="ro-RO"/>
        </w:rPr>
        <w:t>Oferta tehnică (OT) va include:</w:t>
      </w:r>
    </w:p>
    <w:p w14:paraId="67D495BB" w14:textId="77777777" w:rsidR="00A36397" w:rsidRDefault="00A36397" w:rsidP="00A3639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A36397">
        <w:rPr>
          <w:rFonts w:eastAsia="Times New Roman" w:cstheme="minorHAnsi"/>
          <w:lang w:val="ro-RO"/>
        </w:rPr>
        <w:t>CV-ul solicitantului/ei, care pune în evidență competențele solicitate conform ToR-ului, semnat de către ofertant</w:t>
      </w:r>
    </w:p>
    <w:p w14:paraId="21611011" w14:textId="5995254E" w:rsidR="00A36397" w:rsidRPr="00A36397" w:rsidRDefault="00A36397" w:rsidP="00A3639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Trei</w:t>
      </w:r>
      <w:r w:rsidRPr="00A36397">
        <w:rPr>
          <w:rFonts w:eastAsia="Times New Roman" w:cstheme="minorHAnsi"/>
          <w:lang w:val="ro-RO"/>
        </w:rPr>
        <w:t xml:space="preserve"> persoane de referință.</w:t>
      </w:r>
    </w:p>
    <w:p w14:paraId="62CCAC94" w14:textId="300A66BC" w:rsidR="00E64555" w:rsidRPr="006C76FC" w:rsidRDefault="006C76FC" w:rsidP="006C76FC">
      <w:pPr>
        <w:spacing w:after="0" w:line="240" w:lineRule="auto"/>
        <w:ind w:firstLine="567"/>
        <w:jc w:val="both"/>
        <w:rPr>
          <w:rFonts w:cstheme="minorHAnsi"/>
          <w:b/>
          <w:lang w:val="ro-RO"/>
        </w:rPr>
      </w:pPr>
      <w:r w:rsidRPr="006C76FC">
        <w:rPr>
          <w:rFonts w:cstheme="minorHAnsi"/>
          <w:b/>
          <w:lang w:val="ro-RO"/>
        </w:rPr>
        <w:t xml:space="preserve">Oferta financiară (OF) </w:t>
      </w:r>
      <w:r w:rsidRPr="006C76FC">
        <w:rPr>
          <w:rFonts w:cstheme="minorHAnsi"/>
          <w:lang w:val="ro-RO"/>
        </w:rPr>
        <w:t>va fi prezentată conform anexei 3</w:t>
      </w:r>
      <w:r>
        <w:rPr>
          <w:rFonts w:cstheme="minorHAnsi"/>
          <w:lang w:val="ro-RO"/>
        </w:rPr>
        <w:t xml:space="preserve"> (</w:t>
      </w:r>
      <w:r w:rsidRPr="006C76FC">
        <w:rPr>
          <w:rFonts w:cstheme="minorHAnsi"/>
          <w:lang w:val="ro-RO"/>
        </w:rPr>
        <w:t>disponibilă pentru descărcare ca fișier separat</w:t>
      </w:r>
      <w:r>
        <w:rPr>
          <w:rFonts w:cstheme="minorHAnsi"/>
          <w:lang w:val="ro-RO"/>
        </w:rPr>
        <w:t xml:space="preserve">) </w:t>
      </w:r>
    </w:p>
    <w:p w14:paraId="618259DA" w14:textId="11AF0580" w:rsidR="006C76FC" w:rsidRDefault="006C76FC" w:rsidP="00BD0805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cstheme="minorHAnsi"/>
          <w:lang w:val="ro-RO"/>
        </w:rPr>
      </w:pPr>
      <w:r w:rsidRPr="006C76FC">
        <w:rPr>
          <w:rFonts w:cstheme="minorHAnsi"/>
          <w:lang w:val="ro-RO"/>
        </w:rPr>
        <w:t>Oferta urmează a fi datată și semnată de către ofertant, ulterior scanată și expediată. În cazul în care există</w:t>
      </w:r>
      <w:r>
        <w:rPr>
          <w:rFonts w:cstheme="minorHAnsi"/>
          <w:lang w:val="ro-RO"/>
        </w:rPr>
        <w:t xml:space="preserve"> </w:t>
      </w:r>
      <w:r w:rsidRPr="006C76FC">
        <w:rPr>
          <w:rFonts w:cstheme="minorHAnsi"/>
          <w:lang w:val="ro-RO"/>
        </w:rPr>
        <w:t xml:space="preserve">erori aritmetice nesemnificative, acestea vor fi corectate de către </w:t>
      </w:r>
      <w:r>
        <w:rPr>
          <w:rFonts w:cstheme="minorHAnsi"/>
          <w:lang w:val="ro-RO"/>
        </w:rPr>
        <w:t>Keystone Moldova;</w:t>
      </w:r>
    </w:p>
    <w:p w14:paraId="0272B561" w14:textId="3E022F9F" w:rsidR="006C76FC" w:rsidRDefault="006C76FC" w:rsidP="006C76FC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cstheme="minorHAnsi"/>
          <w:lang w:val="ro-RO"/>
        </w:rPr>
      </w:pPr>
      <w:r w:rsidRPr="006C76FC">
        <w:rPr>
          <w:rFonts w:cstheme="minorHAnsi"/>
          <w:lang w:val="ro-RO"/>
        </w:rPr>
        <w:t>Toate sumele menționate în oferta financiară sunt considerate sume brute</w:t>
      </w:r>
      <w:r>
        <w:rPr>
          <w:rFonts w:cstheme="minorHAnsi"/>
          <w:lang w:val="ro-RO"/>
        </w:rPr>
        <w:t>;</w:t>
      </w:r>
    </w:p>
    <w:p w14:paraId="083E6FE1" w14:textId="6ECB3590" w:rsidR="006C76FC" w:rsidRDefault="006C76FC" w:rsidP="008E784F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cstheme="minorHAnsi"/>
          <w:lang w:val="ro-RO"/>
        </w:rPr>
      </w:pPr>
      <w:r w:rsidRPr="006C76FC">
        <w:rPr>
          <w:rFonts w:cstheme="minorHAnsi"/>
          <w:lang w:val="ro-RO"/>
        </w:rPr>
        <w:t>Conform legislației în vigoare, pentru persoanele fizice urmează să fie deduse următoarele impozite: 9% - primele obligatorii de asigurare medicală, 12% - impozitul pe venit</w:t>
      </w:r>
      <w:r w:rsidR="008E784F">
        <w:rPr>
          <w:rFonts w:cstheme="minorHAnsi"/>
          <w:lang w:val="ro-RO"/>
        </w:rPr>
        <w:t>.</w:t>
      </w:r>
    </w:p>
    <w:p w14:paraId="663A8210" w14:textId="28A2247C" w:rsidR="00D837A5" w:rsidRPr="00E1481B" w:rsidRDefault="008E784F" w:rsidP="008E784F">
      <w:pPr>
        <w:shd w:val="clear" w:color="auto" w:fill="DEEAF6" w:themeFill="accent1" w:themeFillTint="33"/>
        <w:spacing w:after="120" w:line="240" w:lineRule="auto"/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EVALUAREA DOSARELOR</w:t>
      </w:r>
    </w:p>
    <w:p w14:paraId="6D9C8CFB" w14:textId="7F49696D" w:rsidR="00D837A5" w:rsidRPr="00E1481B" w:rsidRDefault="008E784F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Evaluarea dosarelor</w:t>
      </w:r>
      <w:r w:rsidR="00D837A5" w:rsidRPr="00E1481B">
        <w:rPr>
          <w:rFonts w:cstheme="minorHAnsi"/>
          <w:lang w:val="ro-RO"/>
        </w:rPr>
        <w:t xml:space="preserve"> va fi realizată în două etape: </w:t>
      </w:r>
    </w:p>
    <w:p w14:paraId="29D96BFA" w14:textId="77777777" w:rsidR="00D837A5" w:rsidRPr="00E1481B" w:rsidRDefault="00D837A5" w:rsidP="009B45F0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Analiza ofertelor tehnice conform criteriilor specificate cu acordarea punctajului respectiv. </w:t>
      </w:r>
    </w:p>
    <w:p w14:paraId="151013CA" w14:textId="77777777" w:rsidR="00D837A5" w:rsidRPr="00E1481B" w:rsidRDefault="00D837A5" w:rsidP="009B45F0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Analiza ofertelor financiare și calcularea punctajului conform formulei unice de calcul. </w:t>
      </w:r>
    </w:p>
    <w:p w14:paraId="553D580C" w14:textId="1A3A797F" w:rsidR="008E784F" w:rsidRDefault="008E784F" w:rsidP="009B45F0">
      <w:pPr>
        <w:spacing w:after="120" w:line="240" w:lineRule="auto"/>
        <w:ind w:firstLine="567"/>
        <w:jc w:val="both"/>
        <w:rPr>
          <w:lang w:val="ro-RO"/>
        </w:rPr>
      </w:pPr>
      <w:r w:rsidRPr="008E784F">
        <w:rPr>
          <w:lang w:val="ro-RO"/>
        </w:rPr>
        <w:t xml:space="preserve">Scorul de evaluare (maxim 100 de puncte) va reprezenta un cumul al scorului obținut pentru oferta tehnică (maxim 90 de puncte) și oferta financiară (maxim 10 de puncte). </w:t>
      </w:r>
    </w:p>
    <w:p w14:paraId="3E5E891D" w14:textId="169A9D61" w:rsidR="008E784F" w:rsidRPr="008E784F" w:rsidRDefault="008E784F" w:rsidP="00246E66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8E784F">
        <w:rPr>
          <w:lang w:val="ro-RO"/>
        </w:rPr>
        <w:t xml:space="preserve">În </w:t>
      </w:r>
      <w:r w:rsidRPr="00246E66">
        <w:rPr>
          <w:b/>
          <w:lang w:val="ro-RO"/>
        </w:rPr>
        <w:t>prima etapă</w:t>
      </w:r>
      <w:r w:rsidRPr="008E784F">
        <w:rPr>
          <w:lang w:val="ro-RO"/>
        </w:rPr>
        <w:t xml:space="preserve">, oferta tehnică (OT), prezentată de fiecare ofertant, va fi verificată sub aspectul corespunderii cu cerințele minime de conformitate. După validarea ofertelor </w:t>
      </w:r>
      <w:r>
        <w:rPr>
          <w:lang w:val="ro-RO"/>
        </w:rPr>
        <w:t xml:space="preserve">de către Comisia de achiziții  Keystone Moldova </w:t>
      </w:r>
      <w:r w:rsidRPr="008E784F">
        <w:rPr>
          <w:lang w:val="ro-RO"/>
        </w:rPr>
        <w:t xml:space="preserve">formată din cinci (5) membri, ofertele vor fi transmise spre evaluare. Ofertele tehnice vor fi evaluate de către angajații </w:t>
      </w:r>
      <w:r w:rsidR="00161618">
        <w:rPr>
          <w:lang w:val="ro-RO"/>
        </w:rPr>
        <w:t>Keystone Moldova</w:t>
      </w:r>
      <w:r w:rsidRPr="008E784F">
        <w:rPr>
          <w:lang w:val="ro-RO"/>
        </w:rPr>
        <w:t xml:space="preserve">, iar rezultatele evaluării vor fi prezentate la </w:t>
      </w:r>
      <w:r w:rsidRPr="00161618">
        <w:rPr>
          <w:b/>
          <w:lang w:val="ro-RO"/>
        </w:rPr>
        <w:t xml:space="preserve">etapa </w:t>
      </w:r>
      <w:r w:rsidR="00161618" w:rsidRPr="00161618">
        <w:rPr>
          <w:b/>
          <w:lang w:val="ro-RO"/>
        </w:rPr>
        <w:t>II</w:t>
      </w:r>
      <w:r w:rsidR="00161618">
        <w:rPr>
          <w:lang w:val="ro-RO"/>
        </w:rPr>
        <w:t xml:space="preserve"> </w:t>
      </w:r>
      <w:r w:rsidRPr="008E784F">
        <w:rPr>
          <w:lang w:val="ro-RO"/>
        </w:rPr>
        <w:t>de deschidere a ofertelor financiare</w:t>
      </w:r>
      <w:r w:rsidR="00246E66">
        <w:rPr>
          <w:lang w:val="ro-RO"/>
        </w:rPr>
        <w:t xml:space="preserve">. </w:t>
      </w:r>
      <w:r w:rsidR="00246E66" w:rsidRPr="00246E66">
        <w:rPr>
          <w:lang w:val="ro-RO"/>
        </w:rPr>
        <w:t xml:space="preserve">Solicitanții vor primi un e-mail de la </w:t>
      </w:r>
      <w:r w:rsidR="00246E66">
        <w:rPr>
          <w:lang w:val="ro-RO"/>
        </w:rPr>
        <w:t>Keystone Moldova</w:t>
      </w:r>
      <w:r w:rsidR="00246E66" w:rsidRPr="00246E66">
        <w:rPr>
          <w:lang w:val="ro-RO"/>
        </w:rPr>
        <w:t xml:space="preserve">, prin care trebuie să </w:t>
      </w:r>
      <w:r w:rsidR="00246E66">
        <w:rPr>
          <w:lang w:val="ro-RO"/>
        </w:rPr>
        <w:t>expedieze</w:t>
      </w:r>
      <w:r w:rsidR="00246E66" w:rsidRPr="00246E66">
        <w:rPr>
          <w:lang w:val="ro-RO"/>
        </w:rPr>
        <w:t xml:space="preserve"> parola pentru oferta lor financiară</w:t>
      </w:r>
      <w:r w:rsidR="00246E66">
        <w:rPr>
          <w:lang w:val="ro-RO"/>
        </w:rPr>
        <w:t xml:space="preserve"> </w:t>
      </w:r>
      <w:r w:rsidR="00246E66" w:rsidRPr="00246E66">
        <w:rPr>
          <w:lang w:val="ro-RO"/>
        </w:rPr>
        <w:t xml:space="preserve">la următoarea adresă: </w:t>
      </w:r>
      <w:hyperlink r:id="rId9" w:history="1">
        <w:r w:rsidR="00246E66" w:rsidRPr="008B1FEB">
          <w:rPr>
            <w:rStyle w:val="Hyperlink"/>
            <w:lang w:val="ro-RO"/>
          </w:rPr>
          <w:t>dcutulab@khs.org</w:t>
        </w:r>
      </w:hyperlink>
      <w:r w:rsidR="00246E66">
        <w:rPr>
          <w:lang w:val="ro-RO"/>
        </w:rPr>
        <w:t>.</w:t>
      </w:r>
    </w:p>
    <w:p w14:paraId="24D3E82D" w14:textId="77777777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Oferta câștigătoare va fi oferta cu cel mai mare punctaj acumulat (oferta tehnică + oferta financiară).</w:t>
      </w:r>
    </w:p>
    <w:p w14:paraId="4E20A679" w14:textId="401EF289" w:rsidR="00D837A5" w:rsidRPr="00E1481B" w:rsidRDefault="00944BCB" w:rsidP="009B45F0">
      <w:pPr>
        <w:spacing w:after="120" w:line="240" w:lineRule="auto"/>
        <w:jc w:val="center"/>
        <w:rPr>
          <w:rFonts w:cstheme="minorHAnsi"/>
          <w:b/>
          <w:lang w:val="ro-RO"/>
        </w:rPr>
      </w:pPr>
      <w:r w:rsidRPr="00944BCB">
        <w:rPr>
          <w:rFonts w:cstheme="minorHAnsi"/>
          <w:b/>
          <w:lang w:val="ro-RO"/>
        </w:rPr>
        <w:lastRenderedPageBreak/>
        <w:t>Ofertele tehnice vor fi analizate, conform următoarelor criterii: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88"/>
        <w:gridCol w:w="1842"/>
      </w:tblGrid>
      <w:tr w:rsidR="007B3D68" w:rsidRPr="00E1481B" w14:paraId="773268EA" w14:textId="77777777" w:rsidTr="009B45F0">
        <w:trPr>
          <w:trHeight w:val="280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559F4167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Nr. r.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599CF744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Criteriu</w:t>
            </w:r>
            <w:r w:rsidRPr="00E1481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481B">
              <w:rPr>
                <w:rFonts w:asciiTheme="minorHAnsi" w:hAnsiTheme="minorHAnsi" w:cstheme="minorHAnsi"/>
                <w:b/>
              </w:rPr>
              <w:t>de</w:t>
            </w:r>
            <w:r w:rsidRPr="00E1481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481B">
              <w:rPr>
                <w:rFonts w:asciiTheme="minorHAnsi" w:hAnsiTheme="minorHAnsi" w:cstheme="minorHAnsi"/>
                <w:b/>
              </w:rPr>
              <w:t>evaluare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5B1F5DF" w14:textId="77777777" w:rsidR="007B3D68" w:rsidRPr="00E1481B" w:rsidRDefault="007B3D68" w:rsidP="009B45F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Punctaj</w:t>
            </w:r>
            <w:r w:rsidRPr="00E1481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1481B">
              <w:rPr>
                <w:rFonts w:asciiTheme="minorHAnsi" w:hAnsiTheme="minorHAnsi" w:cstheme="minorHAnsi"/>
                <w:b/>
              </w:rPr>
              <w:t>maxim</w:t>
            </w:r>
          </w:p>
        </w:tc>
      </w:tr>
      <w:tr w:rsidR="007B3D68" w:rsidRPr="00E1481B" w14:paraId="3D6269DB" w14:textId="77777777" w:rsidTr="009B45F0">
        <w:trPr>
          <w:trHeight w:val="273"/>
        </w:trPr>
        <w:tc>
          <w:tcPr>
            <w:tcW w:w="709" w:type="dxa"/>
            <w:vAlign w:val="center"/>
          </w:tcPr>
          <w:p w14:paraId="63EFD157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088" w:type="dxa"/>
            <w:vAlign w:val="center"/>
          </w:tcPr>
          <w:p w14:paraId="023EEC06" w14:textId="2BC5ABDE" w:rsidR="007B3D68" w:rsidRPr="00E1481B" w:rsidRDefault="007B3D68" w:rsidP="009B45F0">
            <w:pPr>
              <w:pStyle w:val="TableParagraph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Studii</w:t>
            </w:r>
            <w:r w:rsidRPr="00E1481B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în</w:t>
            </w:r>
            <w:r w:rsidRPr="00E1481B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domeniul</w:t>
            </w:r>
            <w:r w:rsidRPr="00E1481B">
              <w:rPr>
                <w:rFonts w:asciiTheme="minorHAnsi" w:hAnsiTheme="minorHAnsi" w:cstheme="minorHAnsi"/>
                <w:spacing w:val="50"/>
              </w:rPr>
              <w:t xml:space="preserve"> </w:t>
            </w:r>
            <w:proofErr w:type="spellStart"/>
            <w:r w:rsidRPr="00E1481B">
              <w:rPr>
                <w:rFonts w:asciiTheme="minorHAnsi" w:hAnsiTheme="minorHAnsi" w:cstheme="minorHAnsi"/>
              </w:rPr>
              <w:t>socio</w:t>
            </w:r>
            <w:proofErr w:type="spellEnd"/>
            <w:r w:rsidRPr="00E1481B">
              <w:rPr>
                <w:rFonts w:asciiTheme="minorHAnsi" w:hAnsiTheme="minorHAnsi" w:cstheme="minorHAnsi"/>
              </w:rPr>
              <w:t>-umane, (educație, asistență social</w:t>
            </w:r>
            <w:r w:rsidR="00DA11BB" w:rsidRPr="00E1481B">
              <w:rPr>
                <w:rFonts w:asciiTheme="minorHAnsi" w:hAnsiTheme="minorHAnsi" w:cstheme="minorHAnsi"/>
              </w:rPr>
              <w:t>ă</w:t>
            </w:r>
            <w:r w:rsidRPr="00E1481B">
              <w:rPr>
                <w:rFonts w:asciiTheme="minorHAnsi" w:hAnsiTheme="minorHAnsi" w:cstheme="minorHAnsi"/>
              </w:rPr>
              <w:t xml:space="preserve"> etc.) </w:t>
            </w:r>
          </w:p>
        </w:tc>
        <w:tc>
          <w:tcPr>
            <w:tcW w:w="1842" w:type="dxa"/>
            <w:vAlign w:val="center"/>
          </w:tcPr>
          <w:p w14:paraId="57E9BF72" w14:textId="77777777" w:rsidR="007B3D68" w:rsidRPr="00E1481B" w:rsidRDefault="007B3D68" w:rsidP="009B45F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30</w:t>
            </w:r>
            <w:r w:rsidRPr="00E148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puncte</w:t>
            </w:r>
          </w:p>
        </w:tc>
      </w:tr>
      <w:tr w:rsidR="007B3D68" w:rsidRPr="00E1481B" w14:paraId="39D4C725" w14:textId="77777777" w:rsidTr="009B45F0">
        <w:trPr>
          <w:trHeight w:val="405"/>
        </w:trPr>
        <w:tc>
          <w:tcPr>
            <w:tcW w:w="709" w:type="dxa"/>
            <w:vAlign w:val="center"/>
          </w:tcPr>
          <w:p w14:paraId="43F01BD4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088" w:type="dxa"/>
            <w:vAlign w:val="center"/>
          </w:tcPr>
          <w:p w14:paraId="6D685B92" w14:textId="1F4A2DF9" w:rsidR="007B3D68" w:rsidRPr="00E1481B" w:rsidRDefault="007B3D68" w:rsidP="009B45F0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Experiență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de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lucru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în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cel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puțin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3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 xml:space="preserve">proiecte privind crearea și dezvoltarea </w:t>
            </w:r>
            <w:r w:rsidRPr="00E1481B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1481B">
              <w:rPr>
                <w:rFonts w:asciiTheme="minorHAnsi" w:hAnsiTheme="minorHAnsi" w:cstheme="minorHAnsi"/>
                <w:spacing w:val="-1"/>
              </w:rPr>
              <w:t>serviciilor</w:t>
            </w:r>
            <w:r w:rsidRPr="00E1481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educaționale</w:t>
            </w:r>
            <w:r w:rsidRPr="00E1481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pentru</w:t>
            </w:r>
            <w:r w:rsidRPr="00E1481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persoanele</w:t>
            </w:r>
            <w:r w:rsidRPr="00E1481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cu</w:t>
            </w:r>
            <w:r w:rsidR="00DA11BB" w:rsidRPr="00E1481B">
              <w:rPr>
                <w:rFonts w:asciiTheme="minorHAnsi" w:hAnsiTheme="minorHAnsi" w:cstheme="minorHAnsi"/>
              </w:rPr>
              <w:t xml:space="preserve"> </w:t>
            </w:r>
            <w:r w:rsidRPr="00E1481B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dizabilități</w:t>
            </w:r>
            <w:r w:rsidRPr="00E1481B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8358FA6" w14:textId="77777777" w:rsidR="007B3D68" w:rsidRPr="00E1481B" w:rsidRDefault="007B3D68" w:rsidP="009B45F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30</w:t>
            </w:r>
            <w:r w:rsidRPr="00E148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puncte</w:t>
            </w:r>
          </w:p>
        </w:tc>
      </w:tr>
      <w:tr w:rsidR="007B3D68" w:rsidRPr="00E1481B" w14:paraId="746BFC44" w14:textId="77777777" w:rsidTr="009B45F0">
        <w:trPr>
          <w:trHeight w:val="440"/>
        </w:trPr>
        <w:tc>
          <w:tcPr>
            <w:tcW w:w="709" w:type="dxa"/>
            <w:vAlign w:val="center"/>
          </w:tcPr>
          <w:p w14:paraId="32E8A963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088" w:type="dxa"/>
            <w:vAlign w:val="center"/>
          </w:tcPr>
          <w:p w14:paraId="22B717BA" w14:textId="77777777" w:rsidR="007B3D68" w:rsidRPr="00E1481B" w:rsidRDefault="007B3D68" w:rsidP="009B45F0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Experiență de formator în cel puțin 3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proiecte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de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asistență tehnică pentru</w:t>
            </w:r>
            <w:r w:rsidRPr="00E1481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OSC-uri și APL-uri</w:t>
            </w:r>
          </w:p>
        </w:tc>
        <w:tc>
          <w:tcPr>
            <w:tcW w:w="1842" w:type="dxa"/>
            <w:vAlign w:val="center"/>
          </w:tcPr>
          <w:p w14:paraId="5A6BCB88" w14:textId="77777777" w:rsidR="007B3D68" w:rsidRPr="00E1481B" w:rsidRDefault="007B3D68" w:rsidP="009B45F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30</w:t>
            </w:r>
            <w:r w:rsidRPr="00E148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puncte</w:t>
            </w:r>
          </w:p>
        </w:tc>
      </w:tr>
      <w:tr w:rsidR="007B3D68" w:rsidRPr="00E1481B" w14:paraId="1B46ADE6" w14:textId="77777777" w:rsidTr="009B45F0">
        <w:trPr>
          <w:trHeight w:val="164"/>
        </w:trPr>
        <w:tc>
          <w:tcPr>
            <w:tcW w:w="709" w:type="dxa"/>
            <w:vAlign w:val="center"/>
          </w:tcPr>
          <w:p w14:paraId="6DB9B110" w14:textId="77777777" w:rsidR="007B3D68" w:rsidRPr="00E1481B" w:rsidRDefault="007B3D68" w:rsidP="009B45F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1481B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7088" w:type="dxa"/>
            <w:vAlign w:val="center"/>
          </w:tcPr>
          <w:p w14:paraId="07CAB677" w14:textId="77777777" w:rsidR="007B3D68" w:rsidRPr="00E1481B" w:rsidRDefault="007B3D68" w:rsidP="009B45F0">
            <w:pPr>
              <w:pStyle w:val="TableParagraph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Oferta</w:t>
            </w:r>
            <w:r w:rsidRPr="00E148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financiară</w:t>
            </w:r>
          </w:p>
        </w:tc>
        <w:tc>
          <w:tcPr>
            <w:tcW w:w="1842" w:type="dxa"/>
            <w:vAlign w:val="center"/>
          </w:tcPr>
          <w:p w14:paraId="0ECAF5DC" w14:textId="77777777" w:rsidR="007B3D68" w:rsidRPr="00E1481B" w:rsidRDefault="007B3D68" w:rsidP="009B45F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1481B">
              <w:rPr>
                <w:rFonts w:asciiTheme="minorHAnsi" w:hAnsiTheme="minorHAnsi" w:cstheme="minorHAnsi"/>
              </w:rPr>
              <w:t>10</w:t>
            </w:r>
            <w:r w:rsidRPr="00E148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481B">
              <w:rPr>
                <w:rFonts w:asciiTheme="minorHAnsi" w:hAnsiTheme="minorHAnsi" w:cstheme="minorHAnsi"/>
              </w:rPr>
              <w:t>puncte</w:t>
            </w:r>
          </w:p>
        </w:tc>
      </w:tr>
    </w:tbl>
    <w:p w14:paraId="36F36833" w14:textId="77777777" w:rsidR="007B3D68" w:rsidRPr="00E1481B" w:rsidRDefault="007B3D68" w:rsidP="00341E3A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29337CC6" w14:textId="77777777" w:rsidR="00D837A5" w:rsidRPr="00E1481B" w:rsidRDefault="00D837A5" w:rsidP="009B45F0">
      <w:pPr>
        <w:spacing w:after="120" w:line="240" w:lineRule="auto"/>
        <w:jc w:val="center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>ANALIZA OFERTEI FINANCIARE</w:t>
      </w:r>
    </w:p>
    <w:p w14:paraId="37468DA6" w14:textId="595F341F" w:rsidR="00D837A5" w:rsidRPr="00E1481B" w:rsidRDefault="00D837A5" w:rsidP="009B45F0">
      <w:pPr>
        <w:spacing w:after="120" w:line="240" w:lineRule="auto"/>
        <w:ind w:firstLine="567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Oferta financiară va acumula un punctaj de la 0 la </w:t>
      </w:r>
      <w:r w:rsidR="005F7C6B" w:rsidRPr="00E1481B">
        <w:rPr>
          <w:rFonts w:cstheme="minorHAnsi"/>
          <w:lang w:val="ro-RO"/>
        </w:rPr>
        <w:t>1</w:t>
      </w:r>
      <w:r w:rsidRPr="00E1481B">
        <w:rPr>
          <w:rFonts w:cstheme="minorHAnsi"/>
          <w:lang w:val="ro-RO"/>
        </w:rPr>
        <w:t>0 puncte</w:t>
      </w:r>
      <w:r w:rsidRPr="00E1481B">
        <w:rPr>
          <w:rFonts w:cstheme="minorHAnsi"/>
          <w:b/>
          <w:bCs/>
          <w:lang w:val="ro-RO"/>
        </w:rPr>
        <w:t xml:space="preserve"> </w:t>
      </w:r>
      <w:r w:rsidRPr="00E1481B">
        <w:rPr>
          <w:rFonts w:cstheme="minorHAnsi"/>
          <w:lang w:val="ro-RO"/>
        </w:rPr>
        <w:t>în conformitate cu formula de calcul unică</w:t>
      </w:r>
      <w:r w:rsidR="00DA11BB" w:rsidRPr="00E1481B">
        <w:rPr>
          <w:rFonts w:cstheme="minorHAnsi"/>
          <w:lang w:val="ro-RO"/>
        </w:rPr>
        <w:t>, care va fi aplicată</w:t>
      </w:r>
    </w:p>
    <w:p w14:paraId="28B4F6DB" w14:textId="77777777" w:rsidR="00D837A5" w:rsidRPr="00E1481B" w:rsidRDefault="00D837A5" w:rsidP="00341E3A">
      <w:pPr>
        <w:spacing w:after="0" w:line="240" w:lineRule="auto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>Variabile:</w:t>
      </w:r>
    </w:p>
    <w:p w14:paraId="416EEDC0" w14:textId="345F6640" w:rsidR="00D837A5" w:rsidRPr="00E1481B" w:rsidRDefault="00D837A5" w:rsidP="00E9769A">
      <w:pPr>
        <w:spacing w:after="0" w:line="240" w:lineRule="auto"/>
        <w:rPr>
          <w:rFonts w:cstheme="minorHAnsi"/>
          <w:lang w:val="ro-RO"/>
        </w:rPr>
      </w:pPr>
      <w:r w:rsidRPr="00E1481B">
        <w:rPr>
          <w:rFonts w:cstheme="minorHAnsi"/>
          <w:b/>
          <w:bCs/>
          <w:lang w:val="ro-RO"/>
        </w:rPr>
        <w:t xml:space="preserve">Σ oferta </w:t>
      </w:r>
      <w:r w:rsidRPr="00E1481B">
        <w:rPr>
          <w:rFonts w:cstheme="minorHAnsi"/>
          <w:b/>
          <w:bCs/>
          <w:lang w:val="ro-RO"/>
        </w:rPr>
        <w:tab/>
      </w:r>
      <w:r w:rsidRPr="00E1481B">
        <w:rPr>
          <w:rFonts w:cstheme="minorHAnsi"/>
          <w:lang w:val="ro-RO"/>
        </w:rPr>
        <w:t>suma propusă în ofert</w:t>
      </w:r>
      <w:r w:rsidR="00DA11BB" w:rsidRPr="00E1481B">
        <w:rPr>
          <w:rFonts w:cstheme="minorHAnsi"/>
          <w:lang w:val="ro-RO"/>
        </w:rPr>
        <w:t>a</w:t>
      </w:r>
      <w:r w:rsidRPr="00E1481B">
        <w:rPr>
          <w:rFonts w:cstheme="minorHAnsi"/>
          <w:lang w:val="ro-RO"/>
        </w:rPr>
        <w:t xml:space="preserve"> financiară;</w:t>
      </w:r>
    </w:p>
    <w:p w14:paraId="57A3AF72" w14:textId="77777777" w:rsidR="00D837A5" w:rsidRPr="00E1481B" w:rsidRDefault="00D837A5" w:rsidP="00E9769A">
      <w:pPr>
        <w:spacing w:after="0" w:line="240" w:lineRule="auto"/>
        <w:rPr>
          <w:rFonts w:cstheme="minorHAnsi"/>
          <w:lang w:val="ro-RO"/>
        </w:rPr>
      </w:pPr>
      <w:r w:rsidRPr="00E1481B">
        <w:rPr>
          <w:rFonts w:cstheme="minorHAnsi"/>
          <w:b/>
          <w:bCs/>
          <w:lang w:val="ro-RO"/>
        </w:rPr>
        <w:t xml:space="preserve">Σ </w:t>
      </w:r>
      <w:proofErr w:type="spellStart"/>
      <w:r w:rsidRPr="00E1481B">
        <w:rPr>
          <w:rFonts w:cstheme="minorHAnsi"/>
          <w:b/>
          <w:bCs/>
          <w:lang w:val="ro-RO"/>
        </w:rPr>
        <w:t>max</w:t>
      </w:r>
      <w:proofErr w:type="spellEnd"/>
      <w:r w:rsidRPr="00E1481B">
        <w:rPr>
          <w:rFonts w:cstheme="minorHAnsi"/>
          <w:b/>
          <w:bCs/>
          <w:lang w:val="ro-RO"/>
        </w:rPr>
        <w:t xml:space="preserve"> </w:t>
      </w:r>
      <w:r w:rsidRPr="00E1481B">
        <w:rPr>
          <w:rFonts w:cstheme="minorHAnsi"/>
          <w:b/>
          <w:bCs/>
          <w:lang w:val="ro-RO"/>
        </w:rPr>
        <w:tab/>
      </w:r>
      <w:r w:rsidRPr="00E1481B">
        <w:rPr>
          <w:rFonts w:cstheme="minorHAnsi"/>
          <w:b/>
          <w:bCs/>
          <w:lang w:val="ro-RO"/>
        </w:rPr>
        <w:tab/>
      </w:r>
      <w:r w:rsidRPr="00E1481B">
        <w:rPr>
          <w:rFonts w:cstheme="minorHAnsi"/>
          <w:lang w:val="ro-RO"/>
        </w:rPr>
        <w:t xml:space="preserve">suma propusă în cea mai mare ofertă financiară; </w:t>
      </w:r>
    </w:p>
    <w:p w14:paraId="3D8E9A4E" w14:textId="77777777" w:rsidR="00D837A5" w:rsidRPr="00E1481B" w:rsidRDefault="00D837A5" w:rsidP="00E9769A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Σmin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ab/>
      </w: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ab/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suma propusă în cea mai mică ofertă financiară; </w:t>
      </w:r>
    </w:p>
    <w:p w14:paraId="22C27FC6" w14:textId="77777777" w:rsidR="00D837A5" w:rsidRPr="00E1481B" w:rsidRDefault="00D837A5" w:rsidP="00E9769A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Pfin_max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ab/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valoarea maximă a ofertei financiare (% ofertei financiare) din punctajul total; </w:t>
      </w:r>
    </w:p>
    <w:p w14:paraId="1AAC95D1" w14:textId="77777777" w:rsidR="00D837A5" w:rsidRPr="00E1481B" w:rsidRDefault="00D837A5" w:rsidP="00E9769A">
      <w:pPr>
        <w:spacing w:after="0" w:line="240" w:lineRule="auto"/>
        <w:rPr>
          <w:rFonts w:cstheme="minorHAnsi"/>
          <w:lang w:val="ro-RO"/>
        </w:rPr>
      </w:pPr>
      <w:proofErr w:type="spellStart"/>
      <w:r w:rsidRPr="00E1481B">
        <w:rPr>
          <w:rFonts w:cstheme="minorHAnsi"/>
          <w:b/>
          <w:bCs/>
          <w:lang w:val="ro-RO"/>
        </w:rPr>
        <w:t>Pteh_max</w:t>
      </w:r>
      <w:proofErr w:type="spellEnd"/>
      <w:r w:rsidRPr="00E1481B">
        <w:rPr>
          <w:rFonts w:cstheme="minorHAnsi"/>
          <w:b/>
          <w:bCs/>
          <w:lang w:val="ro-RO"/>
        </w:rPr>
        <w:t xml:space="preserve"> </w:t>
      </w:r>
      <w:r w:rsidRPr="00E1481B">
        <w:rPr>
          <w:rFonts w:cstheme="minorHAnsi"/>
          <w:b/>
          <w:bCs/>
          <w:lang w:val="ro-RO"/>
        </w:rPr>
        <w:tab/>
      </w:r>
      <w:r w:rsidRPr="00E1481B">
        <w:rPr>
          <w:rFonts w:cstheme="minorHAnsi"/>
          <w:lang w:val="ro-RO"/>
        </w:rPr>
        <w:t>valoarea maximă a ofertei tehnice (% ofertei financiare) din punctajul total</w:t>
      </w:r>
    </w:p>
    <w:p w14:paraId="69FC1FF5" w14:textId="77777777" w:rsidR="00D837A5" w:rsidRPr="00E1481B" w:rsidRDefault="00D837A5" w:rsidP="00E9769A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Punctaj total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=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Pteh_max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+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Pfin-max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; </w:t>
      </w:r>
    </w:p>
    <w:p w14:paraId="0862DA37" w14:textId="77777777" w:rsidR="00D837A5" w:rsidRPr="00E1481B" w:rsidRDefault="00D837A5" w:rsidP="00E9769A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K = (Σ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-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Σmin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) /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Pfin_max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; </w:t>
      </w:r>
    </w:p>
    <w:p w14:paraId="535A2C26" w14:textId="77777777" w:rsidR="00D837A5" w:rsidRPr="00E1481B" w:rsidRDefault="00D837A5" w:rsidP="00E9769A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Δ =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Σmax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/ K – </w:t>
      </w:r>
      <w:proofErr w:type="spellStart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Pfin_max</w:t>
      </w:r>
      <w:proofErr w:type="spellEnd"/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455C822D" w14:textId="77777777" w:rsidR="00D837A5" w:rsidRPr="00E1481B" w:rsidRDefault="00D837A5" w:rsidP="009B45F0">
      <w:pPr>
        <w:spacing w:after="120" w:line="240" w:lineRule="auto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 xml:space="preserve">Punctaj oferta financiară = </w:t>
      </w:r>
      <w:proofErr w:type="spellStart"/>
      <w:r w:rsidRPr="00E1481B">
        <w:rPr>
          <w:rFonts w:cstheme="minorHAnsi"/>
          <w:b/>
          <w:bCs/>
          <w:lang w:val="ro-RO"/>
        </w:rPr>
        <w:t>Pfin_max</w:t>
      </w:r>
      <w:proofErr w:type="spellEnd"/>
      <w:r w:rsidRPr="00E1481B">
        <w:rPr>
          <w:rFonts w:cstheme="minorHAnsi"/>
          <w:b/>
          <w:bCs/>
          <w:lang w:val="ro-RO"/>
        </w:rPr>
        <w:t xml:space="preserve"> – (</w:t>
      </w:r>
      <w:proofErr w:type="spellStart"/>
      <w:r w:rsidRPr="00E1481B">
        <w:rPr>
          <w:rFonts w:cstheme="minorHAnsi"/>
          <w:b/>
          <w:bCs/>
          <w:lang w:val="ro-RO"/>
        </w:rPr>
        <w:t>Σoferta</w:t>
      </w:r>
      <w:proofErr w:type="spellEnd"/>
      <w:r w:rsidRPr="00E1481B">
        <w:rPr>
          <w:rFonts w:cstheme="minorHAnsi"/>
          <w:b/>
          <w:bCs/>
          <w:lang w:val="ro-RO"/>
        </w:rPr>
        <w:t xml:space="preserve"> / K - Δ).</w:t>
      </w:r>
    </w:p>
    <w:p w14:paraId="7E4B3EA4" w14:textId="74F7E745" w:rsidR="00944BCB" w:rsidRPr="00944BCB" w:rsidRDefault="00944BCB" w:rsidP="00944BCB">
      <w:pPr>
        <w:spacing w:after="120" w:line="240" w:lineRule="auto"/>
        <w:ind w:firstLine="567"/>
        <w:jc w:val="both"/>
        <w:rPr>
          <w:rFonts w:cstheme="minorHAnsi"/>
          <w:bCs/>
          <w:i/>
          <w:u w:val="single"/>
          <w:lang w:val="ro-RO"/>
        </w:rPr>
      </w:pPr>
      <w:r w:rsidRPr="00944BCB">
        <w:rPr>
          <w:rFonts w:cstheme="minorHAnsi"/>
          <w:bCs/>
          <w:i/>
          <w:u w:val="single"/>
          <w:lang w:val="ro-RO"/>
        </w:rPr>
        <w:t xml:space="preserve">Rezultatele </w:t>
      </w:r>
      <w:r w:rsidR="00960FE7">
        <w:rPr>
          <w:rFonts w:cstheme="minorHAnsi"/>
          <w:bCs/>
          <w:i/>
          <w:u w:val="single"/>
          <w:lang w:val="ro-RO"/>
        </w:rPr>
        <w:t xml:space="preserve">evaluării </w:t>
      </w:r>
      <w:r w:rsidRPr="00944BCB">
        <w:rPr>
          <w:rFonts w:cstheme="minorHAnsi"/>
          <w:bCs/>
          <w:i/>
          <w:u w:val="single"/>
          <w:lang w:val="ro-RO"/>
        </w:rPr>
        <w:t xml:space="preserve"> vor fi anunțate printr-un e-mail</w:t>
      </w:r>
    </w:p>
    <w:p w14:paraId="2EECF47D" w14:textId="77777777" w:rsidR="00944BCB" w:rsidRDefault="00944BCB" w:rsidP="00341E3A">
      <w:pPr>
        <w:spacing w:after="0" w:line="240" w:lineRule="auto"/>
        <w:ind w:firstLine="567"/>
        <w:jc w:val="both"/>
        <w:rPr>
          <w:rFonts w:cstheme="minorHAnsi"/>
          <w:lang w:val="ro-RO"/>
        </w:rPr>
      </w:pPr>
    </w:p>
    <w:p w14:paraId="785C35B8" w14:textId="77777777" w:rsidR="008E784F" w:rsidRPr="00E1481B" w:rsidRDefault="008E784F" w:rsidP="00960FE7">
      <w:pPr>
        <w:shd w:val="clear" w:color="auto" w:fill="DEEAF6" w:themeFill="accent1" w:themeFillTint="33"/>
        <w:spacing w:after="120" w:line="240" w:lineRule="auto"/>
        <w:jc w:val="center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>CONDIȚII DE CONTRACTARE ȘI MODALITATEA DE PLATĂ</w:t>
      </w:r>
    </w:p>
    <w:p w14:paraId="0485D373" w14:textId="77777777" w:rsidR="008E784F" w:rsidRPr="00E1481B" w:rsidRDefault="008E784F" w:rsidP="008E784F">
      <w:pPr>
        <w:spacing w:after="120" w:line="240" w:lineRule="auto"/>
        <w:ind w:firstLine="567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IP Keystone Moldova va semna cu persoana fizică un contract de prestări servicii pentru îndeplinirea sarcinii de consultanță.</w:t>
      </w:r>
    </w:p>
    <w:p w14:paraId="1D0DA325" w14:textId="59E15AA6" w:rsidR="008E784F" w:rsidRPr="00E1481B" w:rsidRDefault="00960FE7" w:rsidP="008E784F">
      <w:pPr>
        <w:spacing w:after="120" w:line="240" w:lineRule="auto"/>
        <w:rPr>
          <w:rFonts w:cstheme="minorHAnsi"/>
          <w:b/>
          <w:lang w:val="ro-RO"/>
        </w:rPr>
      </w:pPr>
      <w:r w:rsidRPr="00960FE7">
        <w:rPr>
          <w:rFonts w:cstheme="minorHAnsi"/>
          <w:b/>
          <w:lang w:val="ro-RO"/>
        </w:rPr>
        <w:t xml:space="preserve">Contractul va produce efecte juridice începând cu </w:t>
      </w:r>
      <w:r>
        <w:rPr>
          <w:rFonts w:cstheme="minorHAnsi"/>
          <w:b/>
          <w:lang w:val="ro-RO"/>
        </w:rPr>
        <w:t>15</w:t>
      </w:r>
      <w:r w:rsidRPr="00960FE7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>iunie</w:t>
      </w:r>
      <w:r w:rsidRPr="00960FE7">
        <w:rPr>
          <w:rFonts w:cstheme="minorHAnsi"/>
          <w:b/>
          <w:lang w:val="ro-RO"/>
        </w:rPr>
        <w:t xml:space="preserve"> 2022 și se va încheia la 15 </w:t>
      </w:r>
      <w:r>
        <w:rPr>
          <w:rFonts w:cstheme="minorHAnsi"/>
          <w:b/>
          <w:lang w:val="ro-RO"/>
        </w:rPr>
        <w:t xml:space="preserve">aprilie </w:t>
      </w:r>
      <w:r w:rsidRPr="00960FE7">
        <w:rPr>
          <w:rFonts w:cstheme="minorHAnsi"/>
          <w:b/>
          <w:lang w:val="ro-RO"/>
        </w:rPr>
        <w:t>202</w:t>
      </w:r>
      <w:r>
        <w:rPr>
          <w:rFonts w:cstheme="minorHAnsi"/>
          <w:b/>
          <w:lang w:val="ro-RO"/>
        </w:rPr>
        <w:t>3</w:t>
      </w:r>
      <w:r w:rsidRPr="00960FE7">
        <w:rPr>
          <w:rFonts w:cstheme="minorHAnsi"/>
          <w:b/>
          <w:lang w:val="ro-RO"/>
        </w:rPr>
        <w:t>.</w:t>
      </w:r>
      <w:r>
        <w:rPr>
          <w:rFonts w:cstheme="minorHAnsi"/>
          <w:b/>
          <w:lang w:val="ro-RO"/>
        </w:rPr>
        <w:t xml:space="preserve"> Acesta</w:t>
      </w:r>
      <w:r w:rsidR="008E784F" w:rsidRPr="00E1481B">
        <w:rPr>
          <w:rFonts w:cstheme="minorHAnsi"/>
          <w:b/>
          <w:lang w:val="ro-RO"/>
        </w:rPr>
        <w:t xml:space="preserve"> va fi încheiat în lei moldovenești, în conformitate cu oferta financiară depusă. </w:t>
      </w:r>
    </w:p>
    <w:p w14:paraId="2F38770B" w14:textId="77777777" w:rsidR="008E784F" w:rsidRPr="00E1481B" w:rsidRDefault="008E784F" w:rsidP="008E784F">
      <w:pPr>
        <w:spacing w:after="120" w:line="240" w:lineRule="auto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>Plata va fi efectuată în lei moldovenești, prin transfer bancar.</w:t>
      </w:r>
    </w:p>
    <w:p w14:paraId="243BA81B" w14:textId="77777777" w:rsidR="008E784F" w:rsidRPr="00E1481B" w:rsidRDefault="008E784F" w:rsidP="008E784F">
      <w:pPr>
        <w:spacing w:after="120" w:line="240" w:lineRule="auto"/>
        <w:ind w:firstLine="720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Plata pentru serviciile prestate va fi efectuată în 3 tranșe: </w:t>
      </w:r>
    </w:p>
    <w:p w14:paraId="1FACD5BF" w14:textId="77777777" w:rsidR="008E784F" w:rsidRPr="00E1481B" w:rsidRDefault="008E784F" w:rsidP="008E784F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40% din plată vor fi efectuate după prezentarea livrabilelor 1-4</w:t>
      </w:r>
    </w:p>
    <w:p w14:paraId="4490D43B" w14:textId="77777777" w:rsidR="008E784F" w:rsidRPr="00E1481B" w:rsidRDefault="008E784F" w:rsidP="008E784F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40% din plată vor fi efectuate după prezentarea livrabilelor 5-7</w:t>
      </w:r>
    </w:p>
    <w:p w14:paraId="032ABF18" w14:textId="77777777" w:rsidR="008E784F" w:rsidRPr="00E1481B" w:rsidRDefault="008E784F" w:rsidP="008E784F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20% din plată vor fi efectuate după finisarea activității 8-9 și prezentarea raportului final.</w:t>
      </w:r>
    </w:p>
    <w:p w14:paraId="701F35B4" w14:textId="77777777" w:rsidR="008E784F" w:rsidRPr="00E1481B" w:rsidRDefault="008E784F" w:rsidP="00341E3A">
      <w:pPr>
        <w:spacing w:after="0" w:line="240" w:lineRule="auto"/>
        <w:ind w:firstLine="567"/>
        <w:jc w:val="both"/>
        <w:rPr>
          <w:rFonts w:cstheme="minorHAnsi"/>
          <w:lang w:val="ro-RO"/>
        </w:rPr>
      </w:pPr>
    </w:p>
    <w:p w14:paraId="56B50578" w14:textId="77777777" w:rsidR="00D837A5" w:rsidRPr="00E1481B" w:rsidRDefault="00D837A5" w:rsidP="00300E60">
      <w:pPr>
        <w:pStyle w:val="Default"/>
        <w:shd w:val="clear" w:color="auto" w:fill="DEEAF6" w:themeFill="accent1" w:themeFillTint="33"/>
        <w:spacing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Confidențialitate și protecția datelor cu caracter personal</w:t>
      </w:r>
    </w:p>
    <w:p w14:paraId="799FA096" w14:textId="77777777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Ofertele înscrise la concurs vor conține, direct sau indirect, date cu caracter personal. IP Keystone Moldova va asigura confidențialitatea datelor cu caracter personal în procesul de colectare, prelucrare şi stocare a acestora în condițiile prevăzute de Legea privind protecția datelor cu caracter personal.</w:t>
      </w:r>
    </w:p>
    <w:p w14:paraId="7BE08C15" w14:textId="77777777" w:rsidR="00D837A5" w:rsidRPr="00E1481B" w:rsidRDefault="00D837A5" w:rsidP="00341E3A">
      <w:pPr>
        <w:spacing w:after="0" w:line="240" w:lineRule="auto"/>
        <w:rPr>
          <w:rFonts w:cstheme="minorHAnsi"/>
          <w:lang w:val="ro-RO"/>
        </w:rPr>
      </w:pPr>
    </w:p>
    <w:p w14:paraId="706AE98D" w14:textId="77777777" w:rsidR="00D837A5" w:rsidRPr="00E1481B" w:rsidRDefault="00D837A5" w:rsidP="009B45F0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>Alte prevederi</w:t>
      </w:r>
    </w:p>
    <w:p w14:paraId="508EC407" w14:textId="77777777" w:rsidR="00D837A5" w:rsidRPr="00E1481B" w:rsidRDefault="00D837A5" w:rsidP="00341E3A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>Conflict de interese</w:t>
      </w:r>
    </w:p>
    <w:p w14:paraId="1003197C" w14:textId="5AE60A5F" w:rsidR="00D837A5" w:rsidRPr="00E1481B" w:rsidRDefault="00D837A5" w:rsidP="00341E3A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Principiile fundamentale pe care IP Keystone Moldova dorește să le accentueze în sfera conflictului de interese sunt: </w:t>
      </w:r>
    </w:p>
    <w:p w14:paraId="61F574D3" w14:textId="25DB7984" w:rsidR="00D837A5" w:rsidRPr="00E1481B" w:rsidRDefault="00D837A5" w:rsidP="00341E3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sz w:val="22"/>
          <w:szCs w:val="22"/>
          <w:lang w:val="ro-RO"/>
        </w:rPr>
        <w:t>• Toate conflictele de interese</w:t>
      </w:r>
      <w:r w:rsidR="00EC23F1" w:rsidRPr="00E1481B">
        <w:rPr>
          <w:rFonts w:asciiTheme="minorHAnsi" w:hAnsiTheme="minorHAnsi" w:cstheme="minorHAnsi"/>
          <w:sz w:val="22"/>
          <w:szCs w:val="22"/>
          <w:lang w:val="ro-RO"/>
        </w:rPr>
        <w:t>,</w:t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 potențiale sau care sunt în efect</w:t>
      </w:r>
      <w:r w:rsidR="00EC23F1" w:rsidRPr="00E1481B">
        <w:rPr>
          <w:rFonts w:asciiTheme="minorHAnsi" w:hAnsiTheme="minorHAnsi" w:cstheme="minorHAnsi"/>
          <w:sz w:val="22"/>
          <w:szCs w:val="22"/>
          <w:lang w:val="ro-RO"/>
        </w:rPr>
        <w:t>,</w:t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 trebuie declarate; </w:t>
      </w:r>
    </w:p>
    <w:p w14:paraId="208FA722" w14:textId="023C45FC" w:rsidR="00D837A5" w:rsidRPr="00E1481B" w:rsidRDefault="00D837A5" w:rsidP="00341E3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sz w:val="22"/>
          <w:szCs w:val="22"/>
          <w:lang w:val="ro-RO"/>
        </w:rPr>
        <w:t>• Nici</w:t>
      </w:r>
      <w:r w:rsidR="00D72FBD"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o persoană nu ar trebui să fie în poziție de decident asupra </w:t>
      </w:r>
      <w:r w:rsidR="00EC23F1"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propriului </w:t>
      </w:r>
      <w:r w:rsidRPr="00E1481B">
        <w:rPr>
          <w:rFonts w:asciiTheme="minorHAnsi" w:hAnsiTheme="minorHAnsi" w:cstheme="minorHAnsi"/>
          <w:sz w:val="22"/>
          <w:szCs w:val="22"/>
          <w:lang w:val="ro-RO"/>
        </w:rPr>
        <w:t xml:space="preserve">caz; </w:t>
      </w:r>
    </w:p>
    <w:p w14:paraId="420B8D15" w14:textId="77777777" w:rsidR="00D837A5" w:rsidRPr="00E1481B" w:rsidRDefault="00D837A5" w:rsidP="00341E3A">
      <w:pPr>
        <w:spacing w:after="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• Self-</w:t>
      </w:r>
      <w:proofErr w:type="spellStart"/>
      <w:r w:rsidRPr="00E1481B">
        <w:rPr>
          <w:rFonts w:cstheme="minorHAnsi"/>
          <w:lang w:val="ro-RO"/>
        </w:rPr>
        <w:t>dealing</w:t>
      </w:r>
      <w:proofErr w:type="spellEnd"/>
      <w:r w:rsidRPr="00E1481B">
        <w:rPr>
          <w:rFonts w:cstheme="minorHAnsi"/>
          <w:lang w:val="ro-RO"/>
        </w:rPr>
        <w:t>-ul este interzis.</w:t>
      </w:r>
    </w:p>
    <w:p w14:paraId="385B80A9" w14:textId="77777777" w:rsidR="001B09BE" w:rsidRPr="00E1481B" w:rsidRDefault="001B09BE" w:rsidP="00341E3A">
      <w:pPr>
        <w:spacing w:after="0" w:line="240" w:lineRule="auto"/>
        <w:rPr>
          <w:rFonts w:cstheme="minorHAnsi"/>
          <w:lang w:val="ro-RO"/>
        </w:rPr>
      </w:pPr>
    </w:p>
    <w:p w14:paraId="636C36DA" w14:textId="77777777" w:rsidR="00D837A5" w:rsidRPr="00E1481B" w:rsidRDefault="00D837A5" w:rsidP="00300E60">
      <w:pPr>
        <w:pStyle w:val="Default"/>
        <w:shd w:val="clear" w:color="auto" w:fill="DEEAF6" w:themeFill="accent1" w:themeFillTint="33"/>
        <w:spacing w:after="120"/>
        <w:rPr>
          <w:rFonts w:asciiTheme="minorHAnsi" w:hAnsiTheme="minorHAnsi" w:cstheme="minorHAnsi"/>
          <w:sz w:val="22"/>
          <w:szCs w:val="22"/>
          <w:lang w:val="ro-RO"/>
        </w:rPr>
      </w:pPr>
      <w:r w:rsidRPr="00E1481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Antifraudă și corupție </w:t>
      </w:r>
    </w:p>
    <w:p w14:paraId="498139F6" w14:textId="741FC1EC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IP Keystone Moldova aplică cu strictețe politica de toleranță </w:t>
      </w:r>
      <w:r w:rsidR="00EC23F1" w:rsidRPr="00E1481B">
        <w:rPr>
          <w:rFonts w:cstheme="minorHAnsi"/>
          <w:lang w:val="ro-RO"/>
        </w:rPr>
        <w:t xml:space="preserve">zero </w:t>
      </w:r>
      <w:r w:rsidRPr="00E1481B">
        <w:rPr>
          <w:rFonts w:cstheme="minorHAnsi"/>
          <w:lang w:val="ro-RO"/>
        </w:rPr>
        <w:t xml:space="preserve">la practicile interzise, inclusiv fraudă, corupție, complicitate, practici neetice sau neprofesionale și obstrucționarea ofertanților și solicită tuturor ofertanților să respecte cel mai înalt standard de etică </w:t>
      </w:r>
      <w:r w:rsidR="00EC23F1" w:rsidRPr="00E1481B">
        <w:rPr>
          <w:rFonts w:cstheme="minorHAnsi"/>
          <w:lang w:val="ro-RO"/>
        </w:rPr>
        <w:t>pe întreaga perioadă a</w:t>
      </w:r>
      <w:r w:rsidRPr="00E1481B">
        <w:rPr>
          <w:rFonts w:cstheme="minorHAnsi"/>
          <w:lang w:val="ro-RO"/>
        </w:rPr>
        <w:t xml:space="preserve"> procesului de achiziție și implementare a contractului</w:t>
      </w:r>
      <w:r w:rsidR="00EC23F1" w:rsidRPr="00E1481B">
        <w:rPr>
          <w:rFonts w:cstheme="minorHAnsi"/>
          <w:lang w:val="ro-RO"/>
        </w:rPr>
        <w:t>.</w:t>
      </w:r>
    </w:p>
    <w:p w14:paraId="7D997A5D" w14:textId="77777777" w:rsidR="00D837A5" w:rsidRPr="00E1481B" w:rsidRDefault="00D837A5" w:rsidP="00341E3A">
      <w:pPr>
        <w:spacing w:after="0" w:line="240" w:lineRule="auto"/>
        <w:rPr>
          <w:rFonts w:cstheme="minorHAnsi"/>
          <w:b/>
          <w:bCs/>
          <w:lang w:val="ro-RO"/>
        </w:rPr>
      </w:pPr>
    </w:p>
    <w:p w14:paraId="03F8467D" w14:textId="77777777" w:rsidR="00D837A5" w:rsidRPr="00E1481B" w:rsidRDefault="00D837A5" w:rsidP="00300E60">
      <w:pPr>
        <w:shd w:val="clear" w:color="auto" w:fill="DEEAF6" w:themeFill="accent1" w:themeFillTint="33"/>
        <w:spacing w:after="120" w:line="240" w:lineRule="auto"/>
        <w:rPr>
          <w:rFonts w:cstheme="minorHAnsi"/>
          <w:b/>
          <w:bCs/>
          <w:lang w:val="ro-RO"/>
        </w:rPr>
      </w:pPr>
      <w:r w:rsidRPr="00E1481B">
        <w:rPr>
          <w:rFonts w:cstheme="minorHAnsi"/>
          <w:b/>
          <w:bCs/>
          <w:lang w:val="ro-RO"/>
        </w:rPr>
        <w:t>Protecția copiilor și a persoanelor adulte vulnerabile</w:t>
      </w:r>
    </w:p>
    <w:p w14:paraId="66B4D0E5" w14:textId="6B0D3670" w:rsidR="00D837A5" w:rsidRPr="00E1481B" w:rsidRDefault="00D837A5" w:rsidP="009B45F0">
      <w:pPr>
        <w:spacing w:after="12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IP Keystone Moldova aplică cu strictețe politica de protecție a copiilor și a persoanelor adulte vulnerabile față de orice tip de acțiuni abuzive sau ilegale, care îi pot pune în pericol. Ofertantul selectat va asigura c</w:t>
      </w:r>
      <w:r w:rsidR="00EC23F1" w:rsidRPr="00E1481B">
        <w:rPr>
          <w:rFonts w:cstheme="minorHAnsi"/>
          <w:lang w:val="ro-RO"/>
        </w:rPr>
        <w:t>a</w:t>
      </w:r>
      <w:r w:rsidRPr="00E1481B">
        <w:rPr>
          <w:rFonts w:cstheme="minorHAnsi"/>
          <w:lang w:val="ro-RO"/>
        </w:rPr>
        <w:t xml:space="preserve"> acțiunile și comportamentele ale reprezentanților săi </w:t>
      </w:r>
      <w:r w:rsidR="00EC23F1" w:rsidRPr="00E1481B">
        <w:rPr>
          <w:rFonts w:cstheme="minorHAnsi"/>
          <w:lang w:val="ro-RO"/>
        </w:rPr>
        <w:t xml:space="preserve">să </w:t>
      </w:r>
      <w:r w:rsidRPr="00E1481B">
        <w:rPr>
          <w:rFonts w:cstheme="minorHAnsi"/>
          <w:lang w:val="ro-RO"/>
        </w:rPr>
        <w:t>contribui</w:t>
      </w:r>
      <w:r w:rsidR="00EC23F1" w:rsidRPr="00E1481B">
        <w:rPr>
          <w:rFonts w:cstheme="minorHAnsi"/>
          <w:lang w:val="ro-RO"/>
        </w:rPr>
        <w:t>e</w:t>
      </w:r>
      <w:r w:rsidRPr="00E1481B">
        <w:rPr>
          <w:rFonts w:cstheme="minorHAnsi"/>
          <w:lang w:val="ro-RO"/>
        </w:rPr>
        <w:t xml:space="preserve"> la protecția copiilor și a persoanelor adulte vulnerabile și prevenirea oricărei forme de abuz față de ei.</w:t>
      </w:r>
    </w:p>
    <w:p w14:paraId="41BED6D4" w14:textId="77777777" w:rsidR="00D837A5" w:rsidRPr="00E1481B" w:rsidRDefault="00D837A5" w:rsidP="00341E3A">
      <w:pPr>
        <w:spacing w:after="0" w:line="240" w:lineRule="auto"/>
        <w:rPr>
          <w:rFonts w:cstheme="minorHAnsi"/>
          <w:lang w:val="ro-RO"/>
        </w:rPr>
      </w:pPr>
    </w:p>
    <w:p w14:paraId="7F42ED35" w14:textId="426868ED" w:rsidR="00105473" w:rsidRPr="00E1481B" w:rsidRDefault="00D837A5" w:rsidP="00A45A75">
      <w:pPr>
        <w:spacing w:after="120" w:line="240" w:lineRule="auto"/>
        <w:ind w:firstLine="142"/>
        <w:rPr>
          <w:rFonts w:cstheme="minorHAnsi"/>
          <w:lang w:val="ro-RO"/>
        </w:rPr>
      </w:pPr>
      <w:r w:rsidRPr="00E1481B">
        <w:rPr>
          <w:rFonts w:cstheme="minorHAnsi"/>
          <w:b/>
          <w:bCs/>
          <w:lang w:val="ro-RO"/>
        </w:rPr>
        <w:t xml:space="preserve">Informații suplimentare </w:t>
      </w:r>
      <w:r w:rsidRPr="00E1481B">
        <w:rPr>
          <w:rFonts w:cstheme="minorHAnsi"/>
          <w:lang w:val="ro-RO"/>
        </w:rPr>
        <w:t xml:space="preserve">pot fi obținute de la Doina Cuțulab, director de proiect, tel. 068208202, e-mail: </w:t>
      </w:r>
      <w:hyperlink r:id="rId10" w:history="1">
        <w:r w:rsidRPr="00E1481B">
          <w:rPr>
            <w:rStyle w:val="Hyperlink"/>
            <w:rFonts w:cstheme="minorHAnsi"/>
            <w:lang w:val="ro-RO"/>
          </w:rPr>
          <w:t>dcutulab@khs.org</w:t>
        </w:r>
      </w:hyperlink>
      <w:r w:rsidRPr="00E1481B">
        <w:rPr>
          <w:rFonts w:cstheme="minorHAnsi"/>
          <w:lang w:val="ro-RO"/>
        </w:rPr>
        <w:t xml:space="preserve"> </w:t>
      </w:r>
      <w:bookmarkEnd w:id="0"/>
    </w:p>
    <w:sectPr w:rsidR="00105473" w:rsidRPr="00E1481B" w:rsidSect="00E9769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2" w:right="851" w:bottom="426" w:left="1418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51BD" w16cex:dateUtc="2022-06-28T07:09:00Z"/>
  <w16cex:commentExtensible w16cex:durableId="2665528F" w16cex:dateUtc="2022-06-28T07:12:00Z"/>
  <w16cex:commentExtensible w16cex:durableId="2665533F" w16cex:dateUtc="2022-06-28T07:15:00Z"/>
  <w16cex:commentExtensible w16cex:durableId="2665534B" w16cex:dateUtc="2022-06-28T07:15:00Z"/>
  <w16cex:commentExtensible w16cex:durableId="26655467" w16cex:dateUtc="2022-06-28T07:20:00Z"/>
  <w16cex:commentExtensible w16cex:durableId="2665552B" w16cex:dateUtc="2022-06-28T07:23:00Z"/>
  <w16cex:commentExtensible w16cex:durableId="26655693" w16cex:dateUtc="2022-06-28T07:29:00Z"/>
  <w16cex:commentExtensible w16cex:durableId="266566C4" w16cex:dateUtc="2022-06-28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042A4" w16cid:durableId="266551BD"/>
  <w16cid:commentId w16cid:paraId="635995FC" w16cid:durableId="2665528F"/>
  <w16cid:commentId w16cid:paraId="723D5DB3" w16cid:durableId="2665533F"/>
  <w16cid:commentId w16cid:paraId="4D61C9F2" w16cid:durableId="2665534B"/>
  <w16cid:commentId w16cid:paraId="66444939" w16cid:durableId="26655467"/>
  <w16cid:commentId w16cid:paraId="5FD5F7E2" w16cid:durableId="2665552B"/>
  <w16cid:commentId w16cid:paraId="0A11E192" w16cid:durableId="26655693"/>
  <w16cid:commentId w16cid:paraId="5888B9EC" w16cid:durableId="26656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3960" w14:textId="77777777" w:rsidR="00A47743" w:rsidRDefault="00A47743" w:rsidP="007D27F3">
      <w:pPr>
        <w:spacing w:after="0" w:line="240" w:lineRule="auto"/>
      </w:pPr>
      <w:r>
        <w:separator/>
      </w:r>
    </w:p>
  </w:endnote>
  <w:endnote w:type="continuationSeparator" w:id="0">
    <w:p w14:paraId="2AC983A7" w14:textId="77777777" w:rsidR="00A47743" w:rsidRDefault="00A47743" w:rsidP="007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8F11" w14:textId="77777777" w:rsidR="0039455C" w:rsidRDefault="0039455C">
    <w:pPr>
      <w:pStyle w:val="Footer"/>
    </w:pPr>
  </w:p>
  <w:p w14:paraId="3E8D014B" w14:textId="77777777" w:rsidR="0039455C" w:rsidRDefault="0039455C"/>
  <w:p w14:paraId="6BB605FD" w14:textId="77777777" w:rsidR="0039455C" w:rsidRDefault="0039455C"/>
  <w:p w14:paraId="0C6DA008" w14:textId="77777777" w:rsidR="0039455C" w:rsidRDefault="00394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80A4A" w14:textId="77777777" w:rsidR="0039455C" w:rsidRDefault="0039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A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A5481D" w14:textId="77777777" w:rsidR="0039455C" w:rsidRDefault="00394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A03A" w14:textId="77777777" w:rsidR="00A47743" w:rsidRDefault="00A47743" w:rsidP="007D27F3">
      <w:pPr>
        <w:spacing w:after="0" w:line="240" w:lineRule="auto"/>
      </w:pPr>
      <w:r>
        <w:separator/>
      </w:r>
    </w:p>
  </w:footnote>
  <w:footnote w:type="continuationSeparator" w:id="0">
    <w:p w14:paraId="03AB3BE1" w14:textId="77777777" w:rsidR="00A47743" w:rsidRDefault="00A47743" w:rsidP="007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60EB" w14:textId="77777777" w:rsidR="0039455C" w:rsidRDefault="0039455C">
    <w:pPr>
      <w:pStyle w:val="Header"/>
    </w:pPr>
  </w:p>
  <w:p w14:paraId="55A76820" w14:textId="77777777" w:rsidR="0039455C" w:rsidRDefault="0039455C"/>
  <w:p w14:paraId="5F391EF4" w14:textId="77777777" w:rsidR="0039455C" w:rsidRDefault="0039455C"/>
  <w:p w14:paraId="037B69F3" w14:textId="77777777" w:rsidR="0039455C" w:rsidRDefault="00394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E9C4" w14:textId="65DDCC28" w:rsidR="0039455C" w:rsidRDefault="0039455C" w:rsidP="00105473">
    <w:pPr>
      <w:pStyle w:val="Header"/>
    </w:pPr>
    <w:r w:rsidRPr="003A5C1F">
      <w:rPr>
        <w:noProof/>
        <w:lang w:val="en-US"/>
      </w:rPr>
      <w:drawing>
        <wp:inline distT="0" distB="0" distL="0" distR="0" wp14:anchorId="08EE0E86" wp14:editId="2FAFE50D">
          <wp:extent cx="1821455" cy="670536"/>
          <wp:effectExtent l="0" t="0" r="7620" b="0"/>
          <wp:docPr id="1" name="Picture 1" descr="C:\Users\Keystone\Desktop\Proiect SOROS_Educație\Doc pe proiect\Vizibilitate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ystone\Desktop\Proiect SOROS_Educație\Doc pe proiect\Vizibilitate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09" cy="69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6855AF">
      <w:rPr>
        <w:noProof/>
        <w:lang w:val="en-US"/>
      </w:rPr>
      <w:drawing>
        <wp:inline distT="0" distB="0" distL="0" distR="0" wp14:anchorId="09682B03" wp14:editId="65BC3D37">
          <wp:extent cx="2489627" cy="617220"/>
          <wp:effectExtent l="0" t="0" r="6350" b="0"/>
          <wp:docPr id="2" name="Picture 2" descr="C:\Users\Keystone\Desktop\KHS_Logo021_Moldova_Horozon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KHS_Logo021_Moldova_Horozon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9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A2C"/>
    <w:multiLevelType w:val="hybridMultilevel"/>
    <w:tmpl w:val="0A42C50E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7EA"/>
    <w:multiLevelType w:val="hybridMultilevel"/>
    <w:tmpl w:val="B03A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99"/>
    <w:multiLevelType w:val="hybridMultilevel"/>
    <w:tmpl w:val="A044DE34"/>
    <w:lvl w:ilvl="0" w:tplc="CCF69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193"/>
    <w:multiLevelType w:val="hybridMultilevel"/>
    <w:tmpl w:val="75FEFD9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E05D80"/>
    <w:multiLevelType w:val="hybridMultilevel"/>
    <w:tmpl w:val="924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2C0"/>
    <w:multiLevelType w:val="hybridMultilevel"/>
    <w:tmpl w:val="E722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6C8C"/>
    <w:multiLevelType w:val="hybridMultilevel"/>
    <w:tmpl w:val="6BA882DC"/>
    <w:lvl w:ilvl="0" w:tplc="DAD2649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962A67"/>
    <w:multiLevelType w:val="hybridMultilevel"/>
    <w:tmpl w:val="5C464138"/>
    <w:lvl w:ilvl="0" w:tplc="1F346D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A03FD"/>
    <w:multiLevelType w:val="hybridMultilevel"/>
    <w:tmpl w:val="4F62B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D73CF"/>
    <w:multiLevelType w:val="hybridMultilevel"/>
    <w:tmpl w:val="85AE0972"/>
    <w:lvl w:ilvl="0" w:tplc="C3087E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80B"/>
    <w:multiLevelType w:val="hybridMultilevel"/>
    <w:tmpl w:val="18C4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53B7"/>
    <w:multiLevelType w:val="hybridMultilevel"/>
    <w:tmpl w:val="EF121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A66C0"/>
    <w:multiLevelType w:val="hybridMultilevel"/>
    <w:tmpl w:val="B3B6C002"/>
    <w:lvl w:ilvl="0" w:tplc="04A0CD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D76633"/>
    <w:multiLevelType w:val="hybridMultilevel"/>
    <w:tmpl w:val="BBA2D354"/>
    <w:lvl w:ilvl="0" w:tplc="83D86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38BB"/>
    <w:multiLevelType w:val="hybridMultilevel"/>
    <w:tmpl w:val="FE2EED84"/>
    <w:lvl w:ilvl="0" w:tplc="F86AB9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C07"/>
    <w:multiLevelType w:val="hybridMultilevel"/>
    <w:tmpl w:val="E30CF036"/>
    <w:lvl w:ilvl="0" w:tplc="3EBC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C537B"/>
    <w:multiLevelType w:val="multilevel"/>
    <w:tmpl w:val="C3C8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785BCB"/>
    <w:multiLevelType w:val="hybridMultilevel"/>
    <w:tmpl w:val="6530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9D7"/>
    <w:multiLevelType w:val="hybridMultilevel"/>
    <w:tmpl w:val="04660916"/>
    <w:lvl w:ilvl="0" w:tplc="F23C7F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AA1"/>
    <w:multiLevelType w:val="hybridMultilevel"/>
    <w:tmpl w:val="35BE39DC"/>
    <w:lvl w:ilvl="0" w:tplc="665086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9C598E"/>
    <w:multiLevelType w:val="hybridMultilevel"/>
    <w:tmpl w:val="B7C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3D17"/>
    <w:multiLevelType w:val="hybridMultilevel"/>
    <w:tmpl w:val="BF8C1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16AF"/>
    <w:multiLevelType w:val="hybridMultilevel"/>
    <w:tmpl w:val="CBE48686"/>
    <w:lvl w:ilvl="0" w:tplc="62DC07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6E14"/>
    <w:multiLevelType w:val="multilevel"/>
    <w:tmpl w:val="6FB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A07B7"/>
    <w:multiLevelType w:val="hybridMultilevel"/>
    <w:tmpl w:val="4CE8E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197E20"/>
    <w:multiLevelType w:val="multilevel"/>
    <w:tmpl w:val="C15C7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1C10D83"/>
    <w:multiLevelType w:val="hybridMultilevel"/>
    <w:tmpl w:val="EA46328A"/>
    <w:lvl w:ilvl="0" w:tplc="D3A0633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546"/>
    <w:multiLevelType w:val="hybridMultilevel"/>
    <w:tmpl w:val="894495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6F4733C"/>
    <w:multiLevelType w:val="hybridMultilevel"/>
    <w:tmpl w:val="904AF6A4"/>
    <w:lvl w:ilvl="0" w:tplc="B4D0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A20"/>
    <w:multiLevelType w:val="hybridMultilevel"/>
    <w:tmpl w:val="E5022096"/>
    <w:lvl w:ilvl="0" w:tplc="E286E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190E54"/>
    <w:multiLevelType w:val="hybridMultilevel"/>
    <w:tmpl w:val="E080393E"/>
    <w:lvl w:ilvl="0" w:tplc="0409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3" w15:restartNumberingAfterBreak="0">
    <w:nsid w:val="720218D7"/>
    <w:multiLevelType w:val="hybridMultilevel"/>
    <w:tmpl w:val="9BDCF176"/>
    <w:lvl w:ilvl="0" w:tplc="49CC7BC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D5D10"/>
    <w:multiLevelType w:val="hybridMultilevel"/>
    <w:tmpl w:val="A234184E"/>
    <w:lvl w:ilvl="0" w:tplc="204A0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AF016D6"/>
    <w:multiLevelType w:val="hybridMultilevel"/>
    <w:tmpl w:val="A76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1C3B"/>
    <w:multiLevelType w:val="hybridMultilevel"/>
    <w:tmpl w:val="05B42DF2"/>
    <w:lvl w:ilvl="0" w:tplc="2B386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8"/>
  </w:num>
  <w:num w:numId="5">
    <w:abstractNumId w:val="10"/>
  </w:num>
  <w:num w:numId="6">
    <w:abstractNumId w:val="20"/>
  </w:num>
  <w:num w:numId="7">
    <w:abstractNumId w:val="25"/>
  </w:num>
  <w:num w:numId="8">
    <w:abstractNumId w:val="16"/>
  </w:num>
  <w:num w:numId="9">
    <w:abstractNumId w:val="29"/>
  </w:num>
  <w:num w:numId="10">
    <w:abstractNumId w:val="13"/>
  </w:num>
  <w:num w:numId="11">
    <w:abstractNumId w:val="4"/>
  </w:num>
  <w:num w:numId="12">
    <w:abstractNumId w:val="11"/>
  </w:num>
  <w:num w:numId="13">
    <w:abstractNumId w:val="27"/>
  </w:num>
  <w:num w:numId="14">
    <w:abstractNumId w:val="26"/>
  </w:num>
  <w:num w:numId="15">
    <w:abstractNumId w:val="1"/>
  </w:num>
  <w:num w:numId="16">
    <w:abstractNumId w:val="12"/>
  </w:num>
  <w:num w:numId="17">
    <w:abstractNumId w:val="34"/>
  </w:num>
  <w:num w:numId="18">
    <w:abstractNumId w:val="15"/>
  </w:num>
  <w:num w:numId="19">
    <w:abstractNumId w:val="2"/>
  </w:num>
  <w:num w:numId="20">
    <w:abstractNumId w:val="19"/>
  </w:num>
  <w:num w:numId="21">
    <w:abstractNumId w:val="33"/>
  </w:num>
  <w:num w:numId="22">
    <w:abstractNumId w:val="32"/>
  </w:num>
  <w:num w:numId="23">
    <w:abstractNumId w:val="14"/>
  </w:num>
  <w:num w:numId="24">
    <w:abstractNumId w:val="30"/>
  </w:num>
  <w:num w:numId="25">
    <w:abstractNumId w:val="5"/>
  </w:num>
  <w:num w:numId="26">
    <w:abstractNumId w:val="9"/>
  </w:num>
  <w:num w:numId="27">
    <w:abstractNumId w:val="7"/>
  </w:num>
  <w:num w:numId="28">
    <w:abstractNumId w:val="3"/>
  </w:num>
  <w:num w:numId="29">
    <w:abstractNumId w:val="22"/>
  </w:num>
  <w:num w:numId="30">
    <w:abstractNumId w:val="24"/>
  </w:num>
  <w:num w:numId="31">
    <w:abstractNumId w:val="17"/>
  </w:num>
  <w:num w:numId="32">
    <w:abstractNumId w:val="21"/>
  </w:num>
  <w:num w:numId="33">
    <w:abstractNumId w:val="18"/>
  </w:num>
  <w:num w:numId="34">
    <w:abstractNumId w:val="35"/>
  </w:num>
  <w:num w:numId="35">
    <w:abstractNumId w:val="31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9"/>
    <w:rsid w:val="0001634D"/>
    <w:rsid w:val="00016A9F"/>
    <w:rsid w:val="00021682"/>
    <w:rsid w:val="00026153"/>
    <w:rsid w:val="00034459"/>
    <w:rsid w:val="000407F1"/>
    <w:rsid w:val="00041AF3"/>
    <w:rsid w:val="00046C93"/>
    <w:rsid w:val="000513D2"/>
    <w:rsid w:val="00056F64"/>
    <w:rsid w:val="000630B4"/>
    <w:rsid w:val="00070E57"/>
    <w:rsid w:val="000A2316"/>
    <w:rsid w:val="000A6E0B"/>
    <w:rsid w:val="000B0E8B"/>
    <w:rsid w:val="000C1EE5"/>
    <w:rsid w:val="00100B64"/>
    <w:rsid w:val="00105473"/>
    <w:rsid w:val="00107EAE"/>
    <w:rsid w:val="001102CA"/>
    <w:rsid w:val="00136C22"/>
    <w:rsid w:val="00142731"/>
    <w:rsid w:val="00155386"/>
    <w:rsid w:val="00161618"/>
    <w:rsid w:val="00172268"/>
    <w:rsid w:val="00181713"/>
    <w:rsid w:val="001A5A56"/>
    <w:rsid w:val="001B09BE"/>
    <w:rsid w:val="001C1A1C"/>
    <w:rsid w:val="001E1031"/>
    <w:rsid w:val="001E1BC8"/>
    <w:rsid w:val="002060C1"/>
    <w:rsid w:val="00211F64"/>
    <w:rsid w:val="00215291"/>
    <w:rsid w:val="00243071"/>
    <w:rsid w:val="00246E66"/>
    <w:rsid w:val="00254278"/>
    <w:rsid w:val="00260F60"/>
    <w:rsid w:val="00265A06"/>
    <w:rsid w:val="0028498B"/>
    <w:rsid w:val="00285ECA"/>
    <w:rsid w:val="002979A8"/>
    <w:rsid w:val="002A2430"/>
    <w:rsid w:val="002A28D3"/>
    <w:rsid w:val="002A46F4"/>
    <w:rsid w:val="002E1B56"/>
    <w:rsid w:val="002E37C6"/>
    <w:rsid w:val="002F00E2"/>
    <w:rsid w:val="00300E60"/>
    <w:rsid w:val="00320AB7"/>
    <w:rsid w:val="003276BF"/>
    <w:rsid w:val="00336E16"/>
    <w:rsid w:val="00341E3A"/>
    <w:rsid w:val="00342715"/>
    <w:rsid w:val="00373B50"/>
    <w:rsid w:val="00377F69"/>
    <w:rsid w:val="0039455C"/>
    <w:rsid w:val="00396ECB"/>
    <w:rsid w:val="003B6F3D"/>
    <w:rsid w:val="003C5D47"/>
    <w:rsid w:val="003C7255"/>
    <w:rsid w:val="003D1BC6"/>
    <w:rsid w:val="003D4EFA"/>
    <w:rsid w:val="003D7973"/>
    <w:rsid w:val="004054BD"/>
    <w:rsid w:val="004055AB"/>
    <w:rsid w:val="00412B26"/>
    <w:rsid w:val="00423884"/>
    <w:rsid w:val="00426CC9"/>
    <w:rsid w:val="0042779B"/>
    <w:rsid w:val="00432FB2"/>
    <w:rsid w:val="00447686"/>
    <w:rsid w:val="00452A1C"/>
    <w:rsid w:val="004553A3"/>
    <w:rsid w:val="00465284"/>
    <w:rsid w:val="00465600"/>
    <w:rsid w:val="004923D1"/>
    <w:rsid w:val="00495DE3"/>
    <w:rsid w:val="004A1EB7"/>
    <w:rsid w:val="004D699E"/>
    <w:rsid w:val="004E483E"/>
    <w:rsid w:val="004F440B"/>
    <w:rsid w:val="00525CD2"/>
    <w:rsid w:val="005339E5"/>
    <w:rsid w:val="00533E2D"/>
    <w:rsid w:val="005365DA"/>
    <w:rsid w:val="005754FA"/>
    <w:rsid w:val="00580C51"/>
    <w:rsid w:val="0058741C"/>
    <w:rsid w:val="005A736C"/>
    <w:rsid w:val="005B5F3F"/>
    <w:rsid w:val="005B625A"/>
    <w:rsid w:val="005C581A"/>
    <w:rsid w:val="005D4419"/>
    <w:rsid w:val="005D4B16"/>
    <w:rsid w:val="005D6034"/>
    <w:rsid w:val="005D69FF"/>
    <w:rsid w:val="005F7C6B"/>
    <w:rsid w:val="006058F2"/>
    <w:rsid w:val="006500AA"/>
    <w:rsid w:val="00651DB1"/>
    <w:rsid w:val="00654C89"/>
    <w:rsid w:val="00665CD2"/>
    <w:rsid w:val="00681A8A"/>
    <w:rsid w:val="006855AF"/>
    <w:rsid w:val="006859F3"/>
    <w:rsid w:val="006A1357"/>
    <w:rsid w:val="006B2093"/>
    <w:rsid w:val="006C1A6C"/>
    <w:rsid w:val="006C76FC"/>
    <w:rsid w:val="006D78A9"/>
    <w:rsid w:val="006E3AAE"/>
    <w:rsid w:val="006E4EF4"/>
    <w:rsid w:val="006E6098"/>
    <w:rsid w:val="006E72EC"/>
    <w:rsid w:val="006F36B9"/>
    <w:rsid w:val="007055A8"/>
    <w:rsid w:val="007163D2"/>
    <w:rsid w:val="00717E83"/>
    <w:rsid w:val="007359C2"/>
    <w:rsid w:val="007539A1"/>
    <w:rsid w:val="00753F62"/>
    <w:rsid w:val="00765BD8"/>
    <w:rsid w:val="00772C60"/>
    <w:rsid w:val="00783012"/>
    <w:rsid w:val="00784F84"/>
    <w:rsid w:val="007A2A87"/>
    <w:rsid w:val="007B2395"/>
    <w:rsid w:val="007B3D68"/>
    <w:rsid w:val="007B69B2"/>
    <w:rsid w:val="007C11C1"/>
    <w:rsid w:val="007C2717"/>
    <w:rsid w:val="007C2722"/>
    <w:rsid w:val="007C2BBC"/>
    <w:rsid w:val="007D02B1"/>
    <w:rsid w:val="007D1A21"/>
    <w:rsid w:val="007D27F3"/>
    <w:rsid w:val="007D3EEC"/>
    <w:rsid w:val="007D7A31"/>
    <w:rsid w:val="00821243"/>
    <w:rsid w:val="00823B8C"/>
    <w:rsid w:val="00835D3B"/>
    <w:rsid w:val="008417FC"/>
    <w:rsid w:val="00844CD9"/>
    <w:rsid w:val="008525CA"/>
    <w:rsid w:val="00862CE7"/>
    <w:rsid w:val="00865663"/>
    <w:rsid w:val="00870AE5"/>
    <w:rsid w:val="00873FA9"/>
    <w:rsid w:val="00880B65"/>
    <w:rsid w:val="008E42B9"/>
    <w:rsid w:val="008E784F"/>
    <w:rsid w:val="008F529F"/>
    <w:rsid w:val="00915463"/>
    <w:rsid w:val="009217B9"/>
    <w:rsid w:val="00921A66"/>
    <w:rsid w:val="009264CD"/>
    <w:rsid w:val="00942D40"/>
    <w:rsid w:val="00944BCB"/>
    <w:rsid w:val="00960A65"/>
    <w:rsid w:val="00960FE7"/>
    <w:rsid w:val="00972F76"/>
    <w:rsid w:val="009735A6"/>
    <w:rsid w:val="0098166E"/>
    <w:rsid w:val="00982675"/>
    <w:rsid w:val="009A1F27"/>
    <w:rsid w:val="009A71DB"/>
    <w:rsid w:val="009B45F0"/>
    <w:rsid w:val="009C7223"/>
    <w:rsid w:val="009D1A85"/>
    <w:rsid w:val="009D4A7F"/>
    <w:rsid w:val="009E6189"/>
    <w:rsid w:val="009F3048"/>
    <w:rsid w:val="00A10738"/>
    <w:rsid w:val="00A24B7D"/>
    <w:rsid w:val="00A34A67"/>
    <w:rsid w:val="00A35434"/>
    <w:rsid w:val="00A36397"/>
    <w:rsid w:val="00A41812"/>
    <w:rsid w:val="00A41AEF"/>
    <w:rsid w:val="00A44FCF"/>
    <w:rsid w:val="00A45A75"/>
    <w:rsid w:val="00A47743"/>
    <w:rsid w:val="00A5008C"/>
    <w:rsid w:val="00A51A2C"/>
    <w:rsid w:val="00A520E0"/>
    <w:rsid w:val="00A67B31"/>
    <w:rsid w:val="00A73E19"/>
    <w:rsid w:val="00A743BD"/>
    <w:rsid w:val="00A82D75"/>
    <w:rsid w:val="00A912BE"/>
    <w:rsid w:val="00AA27FD"/>
    <w:rsid w:val="00AA528C"/>
    <w:rsid w:val="00AB50B5"/>
    <w:rsid w:val="00AE1432"/>
    <w:rsid w:val="00AE6157"/>
    <w:rsid w:val="00B049E9"/>
    <w:rsid w:val="00B108B0"/>
    <w:rsid w:val="00B2407C"/>
    <w:rsid w:val="00B37B6C"/>
    <w:rsid w:val="00B46D70"/>
    <w:rsid w:val="00B601E3"/>
    <w:rsid w:val="00B638BB"/>
    <w:rsid w:val="00B74D8E"/>
    <w:rsid w:val="00B811FD"/>
    <w:rsid w:val="00B820E0"/>
    <w:rsid w:val="00B82241"/>
    <w:rsid w:val="00B82E4D"/>
    <w:rsid w:val="00B82F7D"/>
    <w:rsid w:val="00B84F7D"/>
    <w:rsid w:val="00B9252B"/>
    <w:rsid w:val="00BB25A6"/>
    <w:rsid w:val="00BB4836"/>
    <w:rsid w:val="00BB77F1"/>
    <w:rsid w:val="00BC7CA7"/>
    <w:rsid w:val="00BE096A"/>
    <w:rsid w:val="00BE1E91"/>
    <w:rsid w:val="00C21716"/>
    <w:rsid w:val="00C37C43"/>
    <w:rsid w:val="00C41A24"/>
    <w:rsid w:val="00C41EB6"/>
    <w:rsid w:val="00C52674"/>
    <w:rsid w:val="00C62469"/>
    <w:rsid w:val="00C74528"/>
    <w:rsid w:val="00C77683"/>
    <w:rsid w:val="00C9368C"/>
    <w:rsid w:val="00C96481"/>
    <w:rsid w:val="00C96987"/>
    <w:rsid w:val="00CA35E5"/>
    <w:rsid w:val="00CC07B2"/>
    <w:rsid w:val="00CC18CE"/>
    <w:rsid w:val="00CC3C9D"/>
    <w:rsid w:val="00CF0CB1"/>
    <w:rsid w:val="00CF2999"/>
    <w:rsid w:val="00CF7C5C"/>
    <w:rsid w:val="00D024CC"/>
    <w:rsid w:val="00D24CE9"/>
    <w:rsid w:val="00D33741"/>
    <w:rsid w:val="00D51D93"/>
    <w:rsid w:val="00D533FF"/>
    <w:rsid w:val="00D549AA"/>
    <w:rsid w:val="00D60F11"/>
    <w:rsid w:val="00D7247B"/>
    <w:rsid w:val="00D72FBD"/>
    <w:rsid w:val="00D749F7"/>
    <w:rsid w:val="00D837A5"/>
    <w:rsid w:val="00D92ACA"/>
    <w:rsid w:val="00DA11BB"/>
    <w:rsid w:val="00DB3C0E"/>
    <w:rsid w:val="00DC2A55"/>
    <w:rsid w:val="00E05F16"/>
    <w:rsid w:val="00E1481B"/>
    <w:rsid w:val="00E2482D"/>
    <w:rsid w:val="00E27221"/>
    <w:rsid w:val="00E50378"/>
    <w:rsid w:val="00E55518"/>
    <w:rsid w:val="00E57A17"/>
    <w:rsid w:val="00E64555"/>
    <w:rsid w:val="00E9769A"/>
    <w:rsid w:val="00EA6EF1"/>
    <w:rsid w:val="00EB5F8F"/>
    <w:rsid w:val="00EB73ED"/>
    <w:rsid w:val="00EC23F1"/>
    <w:rsid w:val="00EC5FB6"/>
    <w:rsid w:val="00ED76D7"/>
    <w:rsid w:val="00EE2018"/>
    <w:rsid w:val="00EE67D7"/>
    <w:rsid w:val="00EF7E51"/>
    <w:rsid w:val="00F020EA"/>
    <w:rsid w:val="00F05232"/>
    <w:rsid w:val="00F135DC"/>
    <w:rsid w:val="00F13AA2"/>
    <w:rsid w:val="00F247D4"/>
    <w:rsid w:val="00F3024D"/>
    <w:rsid w:val="00F410A6"/>
    <w:rsid w:val="00F4577F"/>
    <w:rsid w:val="00F5296A"/>
    <w:rsid w:val="00F530B7"/>
    <w:rsid w:val="00F53A30"/>
    <w:rsid w:val="00F67191"/>
    <w:rsid w:val="00F81473"/>
    <w:rsid w:val="00F8182C"/>
    <w:rsid w:val="00F96D24"/>
    <w:rsid w:val="00FB4150"/>
    <w:rsid w:val="00FB4756"/>
    <w:rsid w:val="00FB73A9"/>
    <w:rsid w:val="00FC6EB8"/>
    <w:rsid w:val="00FE0A7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A45E"/>
  <w15:chartTrackingRefBased/>
  <w15:docId w15:val="{E418B7FB-1F80-47DB-B880-3302027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Bullet"/>
    <w:basedOn w:val="Normal"/>
    <w:link w:val="ListParagraphChar"/>
    <w:uiPriority w:val="34"/>
    <w:qFormat/>
    <w:rsid w:val="007D27F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1 Char,Bullet Char"/>
    <w:link w:val="ListParagraph"/>
    <w:uiPriority w:val="34"/>
    <w:locked/>
    <w:rsid w:val="007D27F3"/>
  </w:style>
  <w:style w:type="paragraph" w:styleId="Footer">
    <w:name w:val="footer"/>
    <w:basedOn w:val="Normal"/>
    <w:link w:val="FooterChar"/>
    <w:uiPriority w:val="99"/>
    <w:unhideWhenUsed/>
    <w:rsid w:val="007D2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7F3"/>
    <w:rPr>
      <w:sz w:val="20"/>
      <w:szCs w:val="20"/>
      <w:lang w:val="en-GB"/>
    </w:rPr>
  </w:style>
  <w:style w:type="character" w:styleId="Strong">
    <w:name w:val="Strong"/>
    <w:uiPriority w:val="22"/>
    <w:qFormat/>
    <w:rsid w:val="007D27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0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69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51"/>
    <w:rPr>
      <w:color w:val="0563C1" w:themeColor="hyperlink"/>
      <w:u w:val="single"/>
    </w:rPr>
  </w:style>
  <w:style w:type="paragraph" w:customStyle="1" w:styleId="Default">
    <w:name w:val="Default"/>
    <w:rsid w:val="00D83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37A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75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F0CB1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A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tulab@kh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dcutulab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utulab@khs.org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AFE1-9C1C-4965-B6A1-E7E2C414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 Associ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Malcoci</dc:creator>
  <cp:keywords/>
  <dc:description/>
  <cp:lastModifiedBy>Doina Cuțulab</cp:lastModifiedBy>
  <cp:revision>44</cp:revision>
  <dcterms:created xsi:type="dcterms:W3CDTF">2022-06-28T09:22:00Z</dcterms:created>
  <dcterms:modified xsi:type="dcterms:W3CDTF">2022-06-30T06:14:00Z</dcterms:modified>
</cp:coreProperties>
</file>